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90"/>
              <w:szCs w:val="90"/>
            </w:rPr>
            <w:t>EQUALITY</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 xml:space="preserve">POLICY AND OBJECTIVES</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Governing Board</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2028</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M Uddin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eastAsia="Tahoma"/>
          <w:b/>
          <w:sz w:val="22"/>
        </w:rPr>
        <w:t xml:space="preserve">1. Aims</w:t>
      </w:r>
    </w:p>
    <w:p>
      <w:pPr>
        <w:spacing w:before="0" w:after="100" w:line="252" w:lineRule="auto"/>
      </w:pPr>
      <w:r>
        <w:rPr>
          <w:rFonts w:ascii="Tahoma" w:hAnsi="Tahoma" w:eastAsia="Tahoma"/>
          <w:b w:val="0"/>
          <w:sz w:val="20"/>
        </w:rPr>
        <w:t xml:space="preserve">Al Ameen Primary School is committed to promoting respect for difference and diversity, in accordance with our values as an Islamic school rooted in the Birmingham community, and to treating all pupils, staff, parents/carers and visitors fairly, regardless of a protected characteristic under the Equality Act 2010: age, disability, gender reassignment, marriage or civil partnership, pregnancy and maternity, race, religion or belief, sex, and sexual orientation.</w:t>
      </w:r>
    </w:p>
    <w:p>
      <w:pPr>
        <w:spacing w:before="0" w:after="100" w:line="252" w:lineRule="auto"/>
      </w:pPr>
      <w:r>
        <w:rPr>
          <w:rFonts w:ascii="Tahoma" w:hAnsi="Tahoma" w:eastAsia="Tahoma"/>
          <w:b w:val="0"/>
          <w:sz w:val="20"/>
        </w:rPr>
        <w:t xml:space="preserve">This policy explains the legal position that applies to us as an independent school, and sets out the equality objectives we have chosen to adopt as good practice.</w:t>
      </w:r>
    </w:p>
    <w:p>
      <w:pPr>
        <w:spacing w:before="160" w:after="80"/>
      </w:pPr>
      <w:r>
        <w:rPr>
          <w:rFonts w:ascii="Tahoma" w:hAnsi="Tahoma" w:eastAsia="Tahoma"/>
          <w:b/>
          <w:sz w:val="22"/>
        </w:rPr>
        <w:t xml:space="preserve">2. Legal Framework</w:t>
      </w:r>
    </w:p>
    <w:p>
      <w:pPr>
        <w:spacing w:before="0" w:after="100" w:line="252" w:lineRule="auto"/>
      </w:pPr>
      <w:r>
        <w:rPr>
          <w:rFonts w:ascii="Tahoma" w:hAnsi="Tahoma" w:eastAsia="Tahoma"/>
          <w:b w:val="0"/>
          <w:sz w:val="20"/>
        </w:rPr>
        <w:t xml:space="preserve">As an independent school, Al Ameen is not a public authority listed in Schedule 19 to the Equality Act 2010, and is therefore not subject to the Public Sector Equality Duty's specific duties (the requirement for listed public authorities, including maintained schools and academies, to publish equality information annually and to publish at least one equality objective at least every four years, under the Equality Act 2010 (Specific Duties and Public Authorities) Regulations 2017). We publish this policy and the objectives in Section 6 voluntarily, because we believe it is good practice and reflects our values, not because we are legally required to.</w:t>
      </w:r>
    </w:p>
    <w:p>
      <w:pPr>
        <w:spacing w:before="0" w:after="100" w:line="252" w:lineRule="auto"/>
      </w:pPr>
      <w:r>
        <w:rPr>
          <w:rFonts w:ascii="Tahoma" w:hAnsi="Tahoma" w:eastAsia="Tahoma"/>
          <w:b w:val="0"/>
          <w:sz w:val="20"/>
        </w:rPr>
        <w:t xml:space="preserve">We are, however, bound by the general prohibition in section 85 of the Equality Act 2010, which makes it unlawful for the school, as the “responsible body”, to discriminate against, harass or victimise a pupil or applicant because of a protected characteristic, in relation to admissions, access to benefits, facilities or services, or exclusion.</w:t>
      </w:r>
    </w:p>
    <w:p>
      <w:pPr>
        <w:spacing w:before="0" w:after="100" w:line="252" w:lineRule="auto"/>
      </w:pPr>
      <w:r>
        <w:rPr>
          <w:rFonts w:ascii="Tahoma" w:hAnsi="Tahoma" w:eastAsia="Tahoma"/>
          <w:b w:val="0"/>
          <w:sz w:val="20"/>
        </w:rPr>
        <w:t xml:space="preserve">We are also required, under paragraph 5 of the Independent School Standards (the Education (Independent School Standards) Regulations 2014), to actively promote the fundamental British values of democracy, the rule of law, individual liberty, and mutual respect and tolerance of those with different faiths and beliefs, and to encourage respect for other people, paying particular regard to the protected characteristics set out in the Equality Act 2010.</w:t>
      </w:r>
    </w:p>
    <w:p>
      <w:pPr>
        <w:spacing w:before="0" w:after="100" w:line="252" w:lineRule="auto"/>
      </w:pPr>
      <w:r>
        <w:rPr>
          <w:rFonts w:ascii="Tahoma" w:hAnsi="Tahoma" w:eastAsia="Tahoma"/>
          <w:b w:val="0"/>
          <w:sz w:val="20"/>
        </w:rPr>
        <w:t xml:space="preserve">This document is also informed by DfE guidance ‘The Equality Act 2010 and schools’ and technical guidance from the Equality and Human Rights Commission.</w:t>
      </w:r>
    </w:p>
    <w:p>
      <w:pPr>
        <w:spacing w:before="160" w:after="80"/>
      </w:pPr>
      <w:r>
        <w:rPr>
          <w:rFonts w:ascii="Tahoma" w:hAnsi="Tahoma" w:eastAsia="Tahoma"/>
          <w:b/>
          <w:sz w:val="22"/>
        </w:rPr>
        <w:t xml:space="preserve">3. Our Religious Character</w:t>
      </w:r>
    </w:p>
    <w:p>
      <w:pPr>
        <w:spacing w:before="0" w:after="100" w:line="252" w:lineRule="auto"/>
      </w:pPr>
      <w:r>
        <w:rPr>
          <w:rFonts w:ascii="Tahoma" w:hAnsi="Tahoma" w:eastAsia="Tahoma"/>
          <w:b w:val="0"/>
          <w:sz w:val="20"/>
        </w:rPr>
        <w:t xml:space="preserve">As a school registered with a religious ethos, Al Ameen is entitled to rely on the exception in Schedule 11, Part 2, paragraph 5(b) to the Equality Act 2010, which allows a school with a registered religious ethos to make certain distinctions connected to religion or belief — for example, in relation to religious worship, religious education, and aspects of admissions — that would not be available to a school without such an ethos. This exception applies only to religion or belief; it does not affect our full duties in relation to any other protected characteristic, including disability, race, and sex.</w:t>
      </w:r>
    </w:p>
    <w:p>
      <w:pPr>
        <w:spacing w:before="160" w:after="80"/>
      </w:pPr>
      <w:r>
        <w:rPr>
          <w:rFonts w:ascii="Tahoma" w:hAnsi="Tahoma" w:eastAsia="Tahoma"/>
          <w:b/>
          <w:sz w:val="22"/>
        </w:rPr>
        <w:t xml:space="preserve">4. Roles and Responsibilities</w:t>
      </w:r>
    </w:p>
    <w:p>
      <w:pPr>
        <w:spacing w:before="0" w:after="100" w:line="252" w:lineRule="auto"/>
      </w:pPr>
      <w:r>
        <w:rPr>
          <w:rFonts w:ascii="Tahoma" w:hAnsi="Tahoma" w:eastAsia="Tahoma"/>
          <w:b w:val="0"/>
          <w:sz w:val="20"/>
        </w:rPr>
        <w:t xml:space="preserve">The Governing Board will ensure this policy and the objectives in Section 6 are published and communicated to staff, pupils and parents/carers, that published information is kept up to date at least annually, and that objectives are reviewed at least every four years, delegating day-to-day monitoring to the Headteacher.</w:t>
      </w:r>
    </w:p>
    <w:p>
      <w:pPr>
        <w:spacing w:before="0" w:after="100" w:line="252" w:lineRule="auto"/>
      </w:pPr>
      <w:r>
        <w:rPr>
          <w:rFonts w:ascii="Tahoma" w:hAnsi="Tahoma" w:eastAsia="Tahoma"/>
          <w:b w:val="0"/>
          <w:sz w:val="20"/>
        </w:rPr>
        <w:t xml:space="preserve">The Headteacher will promote knowledge and understanding of the equality objectives among staff and pupils, monitor progress, report to the Governing Board, and have due regard to the implications for people with protected characteristics when making decisions.</w:t>
      </w:r>
    </w:p>
    <w:p>
      <w:pPr>
        <w:spacing w:before="0" w:after="100" w:line="252" w:lineRule="auto"/>
      </w:pPr>
      <w:r>
        <w:rPr>
          <w:rFonts w:ascii="Tahoma" w:hAnsi="Tahoma" w:eastAsia="Tahoma"/>
          <w:b w:val="0"/>
          <w:sz w:val="20"/>
        </w:rPr>
        <w:t xml:space="preserve">All school staff are expected to have regard to this policy and to work towards the objectives in Section 6.</w:t>
      </w:r>
    </w:p>
    <w:p>
      <w:pPr>
        <w:spacing w:before="160" w:after="80"/>
      </w:pPr>
      <w:r>
        <w:rPr>
          <w:rFonts w:ascii="Tahoma" w:hAnsi="Tahoma" w:eastAsia="Tahoma"/>
          <w:b/>
          <w:sz w:val="22"/>
        </w:rPr>
        <w:t xml:space="preserve">5. Eliminating Discrimination</w:t>
      </w:r>
    </w:p>
    <w:p>
      <w:pPr>
        <w:spacing w:before="0" w:after="100" w:line="252" w:lineRule="auto"/>
      </w:pPr>
      <w:r>
        <w:rPr>
          <w:rFonts w:ascii="Tahoma" w:hAnsi="Tahoma" w:eastAsia="Tahoma"/>
          <w:b w:val="0"/>
          <w:sz w:val="20"/>
        </w:rPr>
        <w:t xml:space="preserve">The school complies with the non-discrimination provisions of the Equality Act 2010 described in Section 2. Staff and governors are reminded of their responsibilities during staff meetings and governor training, and relevant discussion is recorded in meeting minutes. New staff receive training on the Equality Act as part of induction, and all staff receive refresher training. The Headteacher acts as the school's designated lead for monitoring equality issues, liaising with governors as needed.</w:t>
      </w:r>
    </w:p>
    <w:p>
      <w:pPr>
        <w:spacing w:before="160" w:after="80"/>
      </w:pPr>
      <w:r>
        <w:rPr>
          <w:rFonts w:ascii="Tahoma" w:hAnsi="Tahoma" w:eastAsia="Tahoma"/>
          <w:b/>
          <w:sz w:val="22"/>
        </w:rPr>
        <w:t xml:space="preserve">6. Advancing Equality of Opportunity and Fostering Good Relations</w:t>
      </w:r>
    </w:p>
    <w:p>
      <w:pPr>
        <w:spacing w:before="0" w:after="100" w:line="252" w:lineRule="auto"/>
      </w:pPr>
      <w:r>
        <w:rPr>
          <w:rFonts w:ascii="Tahoma" w:hAnsi="Tahoma" w:eastAsia="Tahoma"/>
          <w:b w:val="0"/>
          <w:sz w:val="20"/>
        </w:rPr>
        <w:t xml:space="preserve">The school advances equality of opportunity by removing or minimising disadvantages connected to a protected characteristic, taking steps to meet particular needs, and encouraging full participation in school activities. We review attainment data each year to identify strengths and areas for improvement, and take action in response, while ensuring individual pupils and staff cannot be identified from published data.</w:t>
      </w:r>
    </w:p>
    <w:p>
      <w:pPr>
        <w:spacing w:before="0" w:after="100" w:line="252" w:lineRule="auto"/>
      </w:pPr>
      <w:r>
        <w:rPr>
          <w:rFonts w:ascii="Tahoma" w:hAnsi="Tahoma" w:eastAsia="Tahoma"/>
          <w:b w:val="0"/>
          <w:sz w:val="20"/>
        </w:rPr>
        <w:t xml:space="preserve">We foster good relations between those who share a protected characteristic and those who do not by promoting tolerance, friendship and understanding of a range of religions and cultures across the curriculum, including RE and PSHE; making pupils aware of our Behaviour and Anti-Bullying and Child-on-Child Abuse policies; holding assemblies on relevant issues, including contributions from pupils and external speakers; working with our local community, including local faith groups; and encouraging initiatives such as a school council with representation from across year groups and backgrounds.</w:t>
      </w:r>
    </w:p>
    <w:p>
      <w:pPr>
        <w:spacing w:before="0" w:after="100" w:line="252" w:lineRule="auto"/>
      </w:pPr>
      <w:r>
        <w:rPr>
          <w:rFonts w:ascii="Tahoma" w:hAnsi="Tahoma" w:eastAsia="Tahoma"/>
          <w:b w:val="0"/>
          <w:sz w:val="20"/>
        </w:rPr>
        <w:t xml:space="preserve">The school considers equality implications when planning significant decisions, including school trips and activities — for example, whether a trip clashes with a religious holiday, is accessible to pupils with disabilities, and offers equivalent facilities for boys and girls. An equality consideration is recorded alongside the risk assessment for trips and activities, by the member of staff organising the activity, and stored with the risk assessment.</w:t>
      </w:r>
    </w:p>
    <w:p>
      <w:pPr>
        <w:spacing w:before="160" w:after="80"/>
      </w:pPr>
      <w:r>
        <w:rPr>
          <w:rFonts w:ascii="Tahoma" w:hAnsi="Tahoma" w:eastAsia="Tahoma"/>
          <w:b/>
          <w:sz w:val="22"/>
        </w:rPr>
        <w:t xml:space="preserve">7. Equality Objectives</w:t>
      </w:r>
    </w:p>
    <w:p>
      <w:pPr>
        <w:spacing w:before="0" w:after="100" w:line="252" w:lineRule="auto"/>
      </w:pPr>
      <w:r>
        <w:rPr>
          <w:rFonts w:ascii="Tahoma" w:hAnsi="Tahoma" w:eastAsia="Tahoma"/>
          <w:b w:val="0"/>
          <w:sz w:val="20"/>
        </w:rPr>
        <w:t xml:space="preserve">As explained in Section 2, we are not legally required to publish equality objectives, but we have chosen to adopt the following, for the four years from September 2026:</w:t>
      </w:r>
    </w:p>
    <w:tbl>
      <w:tblPr>
        <w:tblStyle w:val="TableGrid"/>
        <w:tblW w:type="auto" w:w="0"/>
        <w:tblLayout w:type="autofit"/>
        <w:tblLook w:firstColumn="1" w:firstRow="1" w:lastColumn="0" w:lastRow="0" w:noHBand="0" w:noVBand="1" w:val="04A0"/>
      </w:tblPr>
      <w:tblGrid>
        <w:gridCol w:w="4876"/>
        <w:gridCol w:w="4876"/>
      </w:tblGrid>
      <w:tr>
        <w:tc>
          <w:tcPr>
            <w:tcW w:type="dxa" w:w="4876"/>
            <w:shd w:val="clear" w:color="auto" w:fill="0A2F5C"/>
          </w:tcPr>
          <w:p>
            <w:pPr>
              <w:spacing w:after="40"/>
            </w:pPr>
            <w:r/>
            <w:r>
              <w:rPr>
                <w:rFonts w:ascii="Tahoma" w:hAnsi="Tahoma"/>
                <w:b/>
                <w:color w:val="FFFFFF"/>
                <w:sz w:val="20"/>
              </w:rPr>
              <w:t>Objective</w:t>
            </w:r>
          </w:p>
        </w:tc>
        <w:tc>
          <w:tcPr>
            <w:tcW w:type="dxa" w:w="4876"/>
            <w:shd w:val="clear" w:color="auto" w:fill="0A2F5C"/>
          </w:tcPr>
          <w:p>
            <w:pPr>
              <w:spacing w:after="40"/>
            </w:pPr>
            <w:r/>
            <w:r>
              <w:rPr>
                <w:rFonts w:ascii="Tahoma" w:hAnsi="Tahoma"/>
                <w:b/>
                <w:color w:val="FFFFFF"/>
                <w:sz w:val="20"/>
              </w:rPr>
              <w:t>What we will do</w:t>
            </w:r>
          </w:p>
        </w:tc>
      </w:tr>
      <w:tr>
        <w:tc>
          <w:tcPr>
            <w:tcW w:type="dxa" w:w="4876"/>
          </w:tcPr>
          <w:p>
            <w:pPr>
              <w:spacing w:after="40"/>
            </w:pPr>
            <w:r/>
            <w:r>
              <w:rPr>
                <w:rFonts w:ascii="Tahoma" w:hAnsi="Tahoma"/>
                <w:b w:val="0"/>
                <w:sz w:val="19"/>
              </w:rPr>
              <w:t>1. Staff training</w:t>
            </w:r>
          </w:p>
        </w:tc>
        <w:tc>
          <w:tcPr>
            <w:tcW w:type="dxa" w:w="4876"/>
          </w:tcPr>
          <w:p>
            <w:pPr>
              <w:spacing w:after="40"/>
            </w:pPr>
            <w:r/>
            <w:r>
              <w:rPr>
                <w:rFonts w:ascii="Tahoma" w:hAnsi="Tahoma"/>
                <w:b w:val="0"/>
                <w:sz w:val="19"/>
              </w:rPr>
              <w:t>Ensure all staff and governors involved in recruitment and selection receive training on equal opportunities and non-discrimination, with refresher training offered every two years.</w:t>
            </w:r>
          </w:p>
        </w:tc>
      </w:tr>
      <w:tr>
        <w:tc>
          <w:tcPr>
            <w:tcW w:type="dxa" w:w="4876"/>
          </w:tcPr>
          <w:p>
            <w:pPr>
              <w:spacing w:after="40"/>
            </w:pPr>
            <w:r/>
            <w:r>
              <w:rPr>
                <w:rFonts w:ascii="Tahoma" w:hAnsi="Tahoma"/>
                <w:b w:val="0"/>
                <w:sz w:val="19"/>
              </w:rPr>
              <w:t>2. Reasonable adjustments</w:t>
            </w:r>
          </w:p>
        </w:tc>
        <w:tc>
          <w:tcPr>
            <w:tcW w:type="dxa" w:w="4876"/>
          </w:tcPr>
          <w:p>
            <w:pPr>
              <w:spacing w:after="40"/>
            </w:pPr>
            <w:r/>
            <w:r>
              <w:rPr>
                <w:rFonts w:ascii="Tahoma" w:hAnsi="Tahoma"/>
                <w:b w:val="0"/>
                <w:sz w:val="19"/>
              </w:rPr>
              <w:t>Maintain a reasonable adjustment agreement for any member of staff with a disability, reviewed annually, to meet their needs and address any disadvantage they experience.</w:t>
            </w:r>
          </w:p>
        </w:tc>
      </w:tr>
      <w:tr>
        <w:tc>
          <w:tcPr>
            <w:tcW w:type="dxa" w:w="4876"/>
          </w:tcPr>
          <w:p>
            <w:pPr>
              <w:spacing w:after="40"/>
            </w:pPr>
            <w:r/>
            <w:r>
              <w:rPr>
                <w:rFonts w:ascii="Tahoma" w:hAnsi="Tahoma"/>
                <w:b w:val="0"/>
                <w:sz w:val="19"/>
              </w:rPr>
              <w:t>3. Pupil inclusion</w:t>
            </w:r>
          </w:p>
        </w:tc>
        <w:tc>
          <w:tcPr>
            <w:tcW w:type="dxa" w:w="4876"/>
          </w:tcPr>
          <w:p>
            <w:pPr>
              <w:spacing w:after="40"/>
            </w:pPr>
            <w:r/>
            <w:r>
              <w:rPr>
                <w:rFonts w:ascii="Tahoma" w:hAnsi="Tahoma"/>
                <w:b w:val="0"/>
                <w:sz w:val="19"/>
              </w:rPr>
              <w:t>Monitor pupil participation in extracurricular activities and clubs by year group and gender, and take action to address any imbalance identified.</w:t>
            </w:r>
          </w:p>
        </w:tc>
      </w:tr>
    </w:tbl>
    <w:p>
      <w:pPr>
        <w:spacing w:before="0" w:after="100" w:line="252" w:lineRule="auto"/>
      </w:pPr>
      <w:r>
        <w:rPr>
          <w:rFonts w:ascii="Tahoma" w:hAnsi="Tahoma" w:eastAsia="Tahoma"/>
          <w:b w:val="0"/>
          <w:sz w:val="20"/>
        </w:rPr>
        <w:t xml:space="preserve"/>
      </w:r>
    </w:p>
    <w:p>
      <w:pPr>
        <w:spacing w:before="0" w:after="100" w:line="252" w:lineRule="auto"/>
      </w:pPr>
      <w:r>
        <w:rPr>
          <w:rFonts w:ascii="Tahoma" w:hAnsi="Tahoma" w:eastAsia="Tahoma"/>
          <w:b w:val="0"/>
          <w:sz w:val="20"/>
        </w:rPr>
        <w:t xml:space="preserve">Progress against these objectives will be reported to the Governing Board annually, and the objectives themselves reviewed by September 2030.</w:t>
      </w:r>
    </w:p>
    <w:p>
      <w:pPr>
        <w:spacing w:before="160" w:after="80"/>
      </w:pPr>
      <w:r>
        <w:rPr>
          <w:rFonts w:ascii="Tahoma" w:hAnsi="Tahoma" w:eastAsia="Tahoma"/>
          <w:b/>
          <w:sz w:val="22"/>
        </w:rPr>
        <w:t xml:space="preserve">8. Monitoring Arrangements</w:t>
      </w:r>
    </w:p>
    <w:p>
      <w:pPr>
        <w:spacing w:before="0" w:after="100" w:line="252" w:lineRule="auto"/>
      </w:pPr>
      <w:r>
        <w:rPr>
          <w:rFonts w:ascii="Tahoma" w:hAnsi="Tahoma" w:eastAsia="Tahoma"/>
          <w:b w:val="0"/>
          <w:sz w:val="20"/>
        </w:rPr>
        <w:t xml:space="preserve">The Headteacher will update the equality information published under Sections 5 and 6 at least annually. The equality objectives will be reviewed by the Governing Board at least every four years. This policy will be reviewed annually by the Headteacher and approved by the Governing Board.</w:t>
      </w:r>
    </w:p>
    <w:p>
      <w:pPr>
        <w:spacing w:before="160" w:after="80"/>
      </w:pPr>
      <w:r>
        <w:rPr>
          <w:rFonts w:ascii="Tahoma" w:hAnsi="Tahoma" w:eastAsia="Tahoma"/>
          <w:b/>
          <w:sz w:val="22"/>
        </w:rPr>
        <w:t xml:space="preserve">9. Links with Other Policies</w:t>
      </w:r>
    </w:p>
    <w:p>
      <w:pPr>
        <w:spacing w:before="0" w:after="100" w:line="252" w:lineRule="auto"/>
      </w:pPr>
      <w:r>
        <w:rPr>
          <w:rFonts w:ascii="Tahoma" w:hAnsi="Tahoma" w:eastAsia="Tahoma"/>
          <w:b w:val="0"/>
          <w:sz w:val="20"/>
        </w:rPr>
        <w:t xml:space="preserve">This policy links to the school's Admissions Policy, SEND Policy, SEND Information Report, Behaviour and Anti-Bullying Policy, and Safer Recruitment Policy.</w:t>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