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1210260588"/>
        <w:docPartObj>
          <w:docPartGallery w:val="Cover Pages"/>
          <w:docPartUnique/>
        </w:docPartObj>
      </w:sdtPr>
      <w:sdtContent>
        <w:p w14:paraId="6692CCE9" w14:textId="15C1901C" w:rsidR="00D908E0" w:rsidRPr="00D908E0" w:rsidRDefault="00D908E0">
          <w:pPr>
            <w:rPr>
              <w:color w:val="FFFFFF" w:themeColor="background1"/>
            </w:rPr>
          </w:pPr>
          <w:r w:rsidRPr="00D908E0">
            <w:rPr>
              <w:noProof/>
              <w:color w:val="FFFFFF" w:themeColor="background1"/>
            </w:rPr>
            <w:drawing>
              <wp:anchor distT="0" distB="0" distL="114300" distR="114300" simplePos="0" relativeHeight="251656704" behindDoc="1" locked="0" layoutInCell="1" allowOverlap="1" wp14:anchorId="2865B603" wp14:editId="513F4695">
                <wp:simplePos x="0" y="0"/>
                <wp:positionH relativeFrom="page">
                  <wp:posOffset>0</wp:posOffset>
                </wp:positionH>
                <wp:positionV relativeFrom="paragraph">
                  <wp:posOffset>-685800</wp:posOffset>
                </wp:positionV>
                <wp:extent cx="7628358" cy="1079043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628358" cy="107904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A05F7A6" w14:textId="77777777" w:rsidR="00D908E0" w:rsidRPr="00D908E0" w:rsidRDefault="00D908E0">
          <w:pPr>
            <w:rPr>
              <w:color w:val="FFFFFF" w:themeColor="background1"/>
            </w:rPr>
          </w:pPr>
        </w:p>
        <w:p w14:paraId="2BF1F1B7" w14:textId="77777777" w:rsidR="00D908E0" w:rsidRPr="00D908E0" w:rsidRDefault="00D908E0">
          <w:pPr>
            <w:rPr>
              <w:color w:val="FFFFFF" w:themeColor="background1"/>
            </w:rPr>
          </w:pPr>
        </w:p>
        <w:p w14:paraId="61274C4A" w14:textId="77777777" w:rsidR="00D908E0" w:rsidRPr="00D908E0" w:rsidRDefault="00D908E0">
          <w:pPr>
            <w:rPr>
              <w:color w:val="FFFFFF" w:themeColor="background1"/>
            </w:rPr>
          </w:pPr>
        </w:p>
        <w:p w14:paraId="00575C89" w14:textId="77777777" w:rsidR="00D908E0" w:rsidRPr="00D908E0" w:rsidRDefault="00D908E0">
          <w:pPr>
            <w:rPr>
              <w:color w:val="FFFFFF" w:themeColor="background1"/>
            </w:rPr>
          </w:pPr>
        </w:p>
        <w:p w14:paraId="4EB29370" w14:textId="77777777" w:rsidR="00D908E0" w:rsidRPr="00D908E0" w:rsidRDefault="00D908E0">
          <w:pPr>
            <w:rPr>
              <w:color w:val="FFFFFF" w:themeColor="background1"/>
            </w:rPr>
          </w:pPr>
        </w:p>
        <w:p w14:paraId="26BEE7F6" w14:textId="77777777" w:rsidR="00D908E0" w:rsidRPr="00D908E0" w:rsidRDefault="00D908E0">
          <w:pPr>
            <w:rPr>
              <w:color w:val="FFFFFF" w:themeColor="background1"/>
            </w:rPr>
          </w:pPr>
        </w:p>
        <w:p w14:paraId="0FA9005D" w14:textId="6D9D7A08" w:rsidR="00D908E0" w:rsidRDefault="00D908E0">
          <w:pPr>
            <w:rPr>
              <w:color w:val="FFFFFF" w:themeColor="background1"/>
            </w:rPr>
          </w:pPr>
        </w:p>
        <w:p w14:paraId="4D5F663D" w14:textId="5FE20A33" w:rsidR="000B7BAD" w:rsidRDefault="000B7BAD">
          <w:pPr>
            <w:rPr>
              <w:color w:val="FFFFFF" w:themeColor="background1"/>
            </w:rPr>
          </w:pPr>
        </w:p>
        <w:p w14:paraId="7DAE30C6" w14:textId="77777777" w:rsidR="000B7BAD" w:rsidRPr="00D908E0" w:rsidRDefault="000B7BAD">
          <w:pPr>
            <w:rPr>
              <w:color w:val="FFFFFF" w:themeColor="background1"/>
            </w:rPr>
          </w:pPr>
        </w:p>
        <w:p w14:paraId="37FF9EB8" w14:textId="0E72CBDB" w:rsidR="00D908E0" w:rsidRPr="00821593" w:rsidRDefault="00842C85" w:rsidP="00D908E0">
          <w:pPr>
            <w:spacing w:after="0"/>
            <w:rPr>
              <w:rFonts w:ascii="Gill Sans Nova" w:hAnsi="Gill Sans Nova" w:cs="Tahoma"/>
              <w:b/>
              <w:bCs/>
              <w:color w:val="323E4F" w:themeColor="text2" w:themeShade="BF"/>
              <w:sz w:val="90"/>
              <w:szCs w:val="90"/>
            </w:rPr>
          </w:pPr>
          <w:r>
            <w:rPr>
              <w:rFonts w:ascii="Gill Sans Nova" w:hAnsi="Gill Sans Nova" w:cs="Tahoma"/>
              <w:b/>
              <w:bCs/>
              <w:color w:val="323E4F" w:themeColor="text2" w:themeShade="BF"/>
              <w:sz w:val="90"/>
              <w:szCs w:val="90"/>
            </w:rPr>
            <w:t>PERFORMANCE</w:t>
          </w:r>
        </w:p>
        <w:p w14:paraId="5F03E81D" w14:textId="068063A5" w:rsidR="00D908E0" w:rsidRPr="00821593" w:rsidRDefault="00842C85" w:rsidP="00D908E0">
          <w:pPr>
            <w:spacing w:after="0"/>
            <w:rPr>
              <w:rFonts w:ascii="Gill Sans Nova Light" w:hAnsi="Gill Sans Nova Light" w:cs="Tahoma"/>
              <w:color w:val="767171" w:themeColor="background2" w:themeShade="80"/>
              <w:sz w:val="72"/>
              <w:szCs w:val="72"/>
            </w:rPr>
          </w:pPr>
          <w:r>
            <w:rPr>
              <w:rFonts w:ascii="Gill Sans Nova Light" w:hAnsi="Gill Sans Nova Light" w:cs="Tahoma"/>
              <w:color w:val="767171" w:themeColor="background2" w:themeShade="80"/>
              <w:sz w:val="56"/>
              <w:szCs w:val="72"/>
            </w:rPr>
            <w:t xml:space="preserve">MANAGEMENT POLICY</w:t>
          </w:r>
          <w:r w:rsidR="00D908E0" w:rsidRPr="00821593">
            <w:rPr>
              <w:rFonts w:ascii="Gill Sans Nova Light" w:hAnsi="Gill Sans Nova Light" w:cs="Tahoma"/>
              <w:color w:val="767171" w:themeColor="background2" w:themeShade="80"/>
              <w:sz w:val="72"/>
              <w:szCs w:val="72"/>
            </w:rPr>
            <w:t/>
          </w:r>
        </w:p>
        <w:p/>
        <w:tbl>
          <w:tblPr>
            <w:tblpPr w:leftFromText="180" w:rightFromText="180" w:vertAnchor="text" w:horzAnchor="margin" w:tblpX="-152" w:tblpY="151"/>
            <w:tblW w:w="10196" w:type="dxa"/>
            <w:tblCellMar>
              <w:top w:w="57" w:type="dxa"/>
              <w:bottom w:w="57" w:type="dxa"/>
            </w:tblCellMar>
            <w:tblLook w:val="04A0" w:firstRow="1" w:lastRow="0" w:firstColumn="1" w:lastColumn="0" w:noHBand="0" w:noVBand="1"/>
          </w:tblPr>
          <w:tblGrid>
            <w:gridCol w:w="3129"/>
            <w:gridCol w:w="7067"/>
          </w:tblGrid>
          <w:tr w:rsidR="002530EA" w:rsidRPr="00F91525" w14:paraId="45827AEE" w14:textId="77777777" w:rsidTr="00A26F20">
            <w:trPr>
              <w:trHeight w:val="504"/>
            </w:trPr>
            <w:tc>
              <w:tcPr>
                <w:tcW w:w="3129" w:type="dxa"/>
                <w:vAlign w:val="center"/>
                <w:tcMar>
                  <w:top w:w="45" w:type="dxa"/>
                  <w:start w:w="70" w:type="dxa"/>
                  <w:bottom w:w="45" w:type="dxa"/>
                  <w:end w:w="70" w:type="dxa"/>
                </w:tcMar>
              </w:tcPr>
              <w:p w14:paraId="2623CE53"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Approved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Governing Board</w:t>
                </w:r>
              </w:p>
            </w:tc>
          </w:tr>
          <w:tr w:rsidR="002530EA" w:rsidRPr="00F91525" w14:paraId="331D9A56" w14:textId="77777777" w:rsidTr="00A26F20">
            <w:trPr>
              <w:trHeight w:val="504"/>
            </w:trPr>
            <w:tc>
              <w:tcPr>
                <w:tcW w:w="3129" w:type="dxa"/>
                <w:vAlign w:val="center"/>
                <w:tcMar>
                  <w:top w:w="45" w:type="dxa"/>
                  <w:start w:w="70" w:type="dxa"/>
                  <w:bottom w:w="45" w:type="dxa"/>
                  <w:end w:w="70" w:type="dxa"/>
                </w:tcMar>
              </w:tcPr>
              <w:p w14:paraId="39B2DFE4"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Date effective from:</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2026</w:t>
                </w:r>
              </w:p>
            </w:tc>
          </w:tr>
          <w:tr w:rsidR="002530EA" w:rsidRPr="00F91525" w14:paraId="05C45A51" w14:textId="77777777" w:rsidTr="00A26F20">
            <w:trPr>
              <w:trHeight w:val="504"/>
            </w:trPr>
            <w:tc>
              <w:tcPr>
                <w:tcW w:w="3129" w:type="dxa"/>
                <w:vAlign w:val="center"/>
                <w:tcMar>
                  <w:top w:w="45" w:type="dxa"/>
                  <w:start w:w="70" w:type="dxa"/>
                  <w:bottom w:w="45" w:type="dxa"/>
                  <w:end w:w="70" w:type="dxa"/>
                </w:tcMar>
              </w:tcPr>
              <w:p w14:paraId="11B6AD10"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Next review due by:</w:t>
                </w:r>
              </w:p>
            </w:tc>
            <w:tc>
              <w:tcPr>
                <w:tcW w:w="7067" w:type="dxa"/>
                <w:vAlign w:val="center"/>
                <w:tcMar>
                  <w:top w:w="45" w:type="dxa"/>
                  <w:start w:w="70" w:type="dxa"/>
                  <w:bottom w:w="45" w:type="dxa"/>
                  <w:end w:w="70" w:type="dxa"/>
                </w:tcMar>
              </w:tcPr>
              <w:p>
                <w:pPr>
                  <w:spacing w:after="0" w:before="0"/>
                </w:pPr>
                <w:r>
                  <w:rPr>
                    <w:rFonts w:ascii="Tahoma" w:hAnsi="Tahoma" w:eastAsia="Tahoma"/>
                    <w:sz w:val="19"/>
                  </w:rPr>
                  <w:t>September 2027</w:t>
                </w:r>
              </w:p>
            </w:tc>
          </w:tr>
          <w:tr w:rsidR="002530EA" w:rsidRPr="00F91525" w14:paraId="1E8C68F9" w14:textId="77777777" w:rsidTr="00A26F20">
            <w:trPr>
              <w:trHeight w:val="504"/>
            </w:trPr>
            <w:tc>
              <w:tcPr>
                <w:tcW w:w="3129" w:type="dxa"/>
                <w:vAlign w:val="center"/>
                <w:tcMar>
                  <w:top w:w="45" w:type="dxa"/>
                  <w:start w:w="70" w:type="dxa"/>
                  <w:bottom w:w="45" w:type="dxa"/>
                  <w:end w:w="70" w:type="dxa"/>
                </w:tcMar>
              </w:tcPr>
              <w:p w14:paraId="58C99989" w14:textId="77777777" w:rsidR="002530EA" w:rsidRPr="00E156D6" w:rsidRDefault="002530EA" w:rsidP="00F47D6A">
                <w:pPr>
                  <w:spacing w:after="0" w:before="0"/>
                  <w:jc w:val="right"/>
                  <w:rPr>
                    <w:rFonts w:ascii="Tahoma" w:hAnsi="Tahoma" w:cs="Tahoma"/>
                    <w:b/>
                    <w:color w:val="0A2F5C"/>
                    <w:szCs w:val="28"/>
                  </w:rPr>
                </w:pPr>
                <w:r w:rsidRPr="00E156D6">
                  <w:rPr>
                    <w:rFonts w:ascii="Tahoma" w:hAnsi="Tahoma" w:cs="Tahoma" w:eastAsia="Tahoma"/>
                    <w:b/>
                    <w:color w:val="0A2F5C"/>
                    <w:sz w:val="19"/>
                    <w:szCs w:val="28"/>
                  </w:rPr>
                  <w:t>Signed:</w:t>
                </w:r>
              </w:p>
            </w:tc>
            <w:tc>
              <w:tcPr>
                <w:tcW w:w="7067" w:type="dxa"/>
                <w:vAlign w:val="center"/>
                <w:tcMar>
                  <w:top w:w="45" w:type="dxa"/>
                  <w:start w:w="70" w:type="dxa"/>
                  <w:bottom w:w="45" w:type="dxa"/>
                  <w:end w:w="70" w:type="dxa"/>
                </w:tcMar>
              </w:tcPr>
              <w:p>
                <w:pPr>
                  <w:spacing w:after="0" w:before="0"/>
                </w:pPr>
                <w:r>
                  <w:rPr>
                    <w:rFonts w:ascii="Tahoma" w:hAnsi="Tahoma" w:eastAsia="Tahoma"/>
                    <w:sz w:val="19"/>
                  </w:rPr>
                  <w:t>M Uddin</w:t>
                </w:r>
              </w:p>
            </w:tc>
          </w:tr>
        </w:tbl>
        <w:p w14:paraId="7E36E3C4" w14:textId="11A8D6DF" w:rsidR="00D908E0" w:rsidRPr="00D908E0" w:rsidRDefault="00D908E0" w:rsidP="00D908E0">
          <w:pPr>
            <w:spacing w:after="0"/>
            <w:rPr>
              <w:color w:val="FFFFFF" w:themeColor="background1"/>
            </w:rPr>
          </w:pPr>
          <w:r w:rsidRPr="00D908E0">
            <w:rPr>
              <w:color w:val="FFFFFF" w:themeColor="background1"/>
            </w:rPr>
            <w:br w:type="page"/>
          </w:r>
        </w:p>
      </w:sdtContent>
    </w:sdt>
    <w:p>
      <w:pPr>
        <w:spacing w:before="0" w:after="60" w:line="252" w:lineRule="auto"/>
        <w:jc w:val="center"/>
      </w:pPr>
      <w:r>
        <w:rPr>
          <w:rFonts w:ascii="Tahoma" w:hAnsi="Tahoma" w:eastAsia="Tahoma"/>
          <w:b w:val="0"/>
          <w:sz w:val="20"/>
          <w:color w:val="0A2F5C"/>
        </w:rPr>
        <w:t>In the name of Allah, The Beneficent, The Merciful</w:t>
      </w:r>
    </w:p>
    <w:p>
      <w:pPr>
        <w:spacing w:before="0" w:after="160" w:line="252" w:lineRule="auto"/>
        <w:jc w:val="center"/>
      </w:pPr>
      <w:r>
        <w:rPr>
          <w:rFonts w:ascii="Tahoma" w:hAnsi="Tahoma" w:eastAsia="Tahoma"/>
          <w:b w:val="0"/>
          <w:sz w:val="20"/>
        </w:rPr>
        <w:t>“We made you peoples and tribes so that you may know one another.” (Qur’an 49:13)</w:t>
      </w:r>
    </w:p>
    <w:p>
      <w:pPr>
        <w:spacing w:before="160" w:after="80"/>
      </w:pPr>
      <w:r>
        <w:rPr>
          <w:rFonts w:ascii="Tahoma" w:hAnsi="Tahoma" w:eastAsia="Tahoma"/>
          <w:b/>
          <w:sz w:val="22"/>
        </w:rPr>
        <w:t xml:space="preserve">1. Statement of Intent</w:t>
      </w:r>
    </w:p>
    <w:p>
      <w:pPr>
        <w:spacing w:before="0" w:after="100" w:line="252" w:lineRule="auto"/>
      </w:pPr>
      <w:r>
        <w:rPr>
          <w:rFonts w:ascii="Tahoma" w:hAnsi="Tahoma" w:eastAsia="Tahoma"/>
          <w:b w:val="0"/>
          <w:sz w:val="20"/>
        </w:rPr>
        <w:t xml:space="preserve">This policy sets out the framework for a clear and consistent assessment of the performance of teachers at Al Ameen Primary School, including the Headteacher. It is designed to support teachers' development, within the context of the school's plans for improving educational provision and performance, and the standards expected of teachers. Unless indicated otherwise, all references to 'teacher' in this policy include the Headteacher.</w:t>
      </w:r>
    </w:p>
    <w:p>
      <w:pPr>
        <w:spacing w:before="0" w:after="100" w:line="252" w:lineRule="auto"/>
      </w:pPr>
      <w:r>
        <w:rPr>
          <w:rFonts w:ascii="Tahoma" w:hAnsi="Tahoma" w:eastAsia="Tahoma"/>
          <w:b w:val="0"/>
          <w:sz w:val="20"/>
        </w:rPr>
        <w:t xml:space="preserve">As an independent school, Al Ameen is not legally required to follow the Education (School Teachers' Appraisal) (England) Regulations 2012, which apply to maintained schools. The school nonetheless considers it good practice to base its own appraisal arrangements on this framework and on the DfE's wider guidance on teacher appraisal, adapted to the school's own circumstances.</w:t>
      </w:r>
    </w:p>
    <w:p>
      <w:pPr>
        <w:spacing w:before="0" w:after="100" w:line="252" w:lineRule="auto"/>
      </w:pPr>
      <w:r>
        <w:rPr>
          <w:rFonts w:ascii="Tahoma" w:hAnsi="Tahoma" w:eastAsia="Tahoma"/>
          <w:b w:val="0"/>
          <w:sz w:val="20"/>
        </w:rPr>
        <w:t xml:space="preserve">This policy applies to all teaching staff. The Headteacher may extend a similar appraisal approach to support staff, adapted as appropriate to their role.</w:t>
      </w:r>
    </w:p>
    <w:p>
      <w:pPr>
        <w:spacing w:before="160" w:after="80"/>
      </w:pPr>
      <w:r>
        <w:rPr>
          <w:rFonts w:ascii="Tahoma" w:hAnsi="Tahoma" w:eastAsia="Tahoma"/>
          <w:b/>
          <w:sz w:val="22"/>
        </w:rPr>
        <w:t xml:space="preserve">2. Legal Framework</w:t>
      </w:r>
    </w:p>
    <w:p>
      <w:pPr>
        <w:spacing w:before="0" w:after="100" w:line="252" w:lineRule="auto"/>
      </w:pPr>
      <w:r>
        <w:rPr>
          <w:rFonts w:ascii="Tahoma" w:hAnsi="Tahoma" w:eastAsia="Tahoma"/>
          <w:b w:val="0"/>
          <w:sz w:val="20"/>
        </w:rPr>
        <w:t xml:space="preserve">This policy has due regard to the following legislation and guidance, to the extent that it applies to an independent school or represents good practice:</w:t>
      </w:r>
    </w:p>
    <w:p>
      <w:pPr>
        <w:spacing w:before="0" w:after="40" w:line="252" w:lineRule="auto"/>
        <w:ind w:left="360" w:hanging="173"/>
      </w:pPr>
      <w:r>
        <w:rPr>
          <w:rFonts w:ascii="Tahoma" w:hAnsi="Tahoma" w:eastAsia="Tahoma"/>
          <w:b w:val="0"/>
          <w:sz w:val="20"/>
        </w:rPr>
        <w:t xml:space="preserve">• The Equality Act 2010</w:t>
      </w:r>
    </w:p>
    <w:p>
      <w:pPr>
        <w:spacing w:before="0" w:after="40" w:line="252" w:lineRule="auto"/>
        <w:ind w:left="360" w:hanging="173"/>
      </w:pPr>
      <w:r>
        <w:rPr>
          <w:rFonts w:ascii="Tahoma" w:hAnsi="Tahoma" w:eastAsia="Tahoma"/>
          <w:b w:val="0"/>
          <w:sz w:val="20"/>
        </w:rPr>
        <w:t xml:space="preserve">• DfE 'Teacher Appraisal' guidance</w:t>
      </w:r>
    </w:p>
    <w:p>
      <w:pPr>
        <w:spacing w:before="0" w:after="40" w:line="252" w:lineRule="auto"/>
        <w:ind w:left="360" w:hanging="173"/>
      </w:pPr>
      <w:r>
        <w:rPr>
          <w:rFonts w:ascii="Tahoma" w:hAnsi="Tahoma" w:eastAsia="Tahoma"/>
          <w:b w:val="0"/>
          <w:sz w:val="20"/>
        </w:rPr>
        <w:t xml:space="preserve">• DfE 'Teacher Appraisal and Capability: A Model Policy for Schools'</w:t>
      </w:r>
    </w:p>
    <w:p>
      <w:pPr>
        <w:spacing w:before="0" w:after="40" w:line="252" w:lineRule="auto"/>
        <w:ind w:left="360" w:hanging="173"/>
      </w:pPr>
      <w:r>
        <w:rPr>
          <w:rFonts w:ascii="Tahoma" w:hAnsi="Tahoma" w:eastAsia="Tahoma"/>
          <w:b w:val="0"/>
          <w:sz w:val="20"/>
        </w:rPr>
        <w:t xml:space="preserve">• DfE 'Teachers' Standards'</w:t>
      </w:r>
    </w:p>
    <w:p>
      <w:pPr>
        <w:spacing w:before="0" w:after="40" w:line="252" w:lineRule="auto"/>
        <w:ind w:left="360" w:hanging="173"/>
      </w:pPr>
      <w:r>
        <w:rPr>
          <w:rFonts w:ascii="Tahoma" w:hAnsi="Tahoma" w:eastAsia="Tahoma"/>
          <w:b w:val="0"/>
          <w:sz w:val="20"/>
        </w:rPr>
        <w:t xml:space="preserve">• DfE 'Staffing and Employment Advice for Schools'</w:t>
      </w:r>
    </w:p>
    <w:p>
      <w:pPr>
        <w:spacing w:before="0" w:after="40" w:line="252" w:lineRule="auto"/>
        <w:ind w:left="360" w:hanging="173"/>
      </w:pPr>
      <w:r>
        <w:rPr>
          <w:rFonts w:ascii="Tahoma" w:hAnsi="Tahoma" w:eastAsia="Tahoma"/>
          <w:b w:val="0"/>
          <w:sz w:val="20"/>
        </w:rPr>
        <w:t xml:space="preserve">• DfE 'Implementing Your School's Approach to Pay'</w:t>
      </w:r>
    </w:p>
    <w:p>
      <w:pPr>
        <w:spacing w:before="0" w:after="40" w:line="252" w:lineRule="auto"/>
        <w:ind w:left="360" w:hanging="173"/>
      </w:pPr>
      <w:r>
        <w:rPr>
          <w:rFonts w:ascii="Tahoma" w:hAnsi="Tahoma" w:eastAsia="Tahoma"/>
          <w:b w:val="0"/>
          <w:sz w:val="20"/>
        </w:rPr>
        <w:t xml:space="preserve">• DfE 'The Equality Act 2010 and Schools'</w:t>
      </w:r>
    </w:p>
    <w:p>
      <w:pPr>
        <w:spacing w:before="0" w:after="100" w:line="252" w:lineRule="auto"/>
      </w:pPr>
      <w:r>
        <w:rPr>
          <w:rFonts w:ascii="Tahoma" w:hAnsi="Tahoma" w:eastAsia="Tahoma"/>
          <w:b w:val="0"/>
          <w:sz w:val="20"/>
        </w:rPr>
        <w:t xml:space="preserve">The Education (School Teachers' Appraisal) (England) Regulations 2012 and the School Teachers' Pay and Conditions Document (STPCD) do not bind independent schools; Al Ameen has regard to both as a helpful point of reference for good practice, consistent with the approach set out in the Pay Policy.</w:t>
      </w:r>
    </w:p>
    <w:p>
      <w:pPr>
        <w:spacing w:before="0" w:after="100" w:line="252" w:lineRule="auto"/>
      </w:pPr>
      <w:r>
        <w:rPr>
          <w:rFonts w:ascii="Tahoma" w:hAnsi="Tahoma" w:eastAsia="Tahoma"/>
          <w:b w:val="0"/>
          <w:sz w:val="20"/>
        </w:rPr>
        <w:t xml:space="preserve">This policy operates in conjunction with the school's:</w:t>
      </w:r>
    </w:p>
    <w:p>
      <w:pPr>
        <w:spacing w:before="0" w:after="40" w:line="252" w:lineRule="auto"/>
        <w:ind w:left="360" w:hanging="173"/>
      </w:pPr>
      <w:r>
        <w:rPr>
          <w:rFonts w:ascii="Tahoma" w:hAnsi="Tahoma" w:eastAsia="Tahoma"/>
          <w:b w:val="0"/>
          <w:sz w:val="20"/>
        </w:rPr>
        <w:t xml:space="preserve">• Pay Policy</w:t>
      </w:r>
    </w:p>
    <w:p>
      <w:pPr>
        <w:spacing w:before="0" w:after="40" w:line="252" w:lineRule="auto"/>
        <w:ind w:left="360" w:hanging="173"/>
      </w:pPr>
      <w:r>
        <w:rPr>
          <w:rFonts w:ascii="Tahoma" w:hAnsi="Tahoma" w:eastAsia="Tahoma"/>
          <w:b w:val="0"/>
          <w:sz w:val="20"/>
        </w:rPr>
        <w:t xml:space="preserve">• CPD and Training Policy</w:t>
      </w:r>
    </w:p>
    <w:p>
      <w:pPr>
        <w:spacing w:before="0" w:after="40" w:line="252" w:lineRule="auto"/>
        <w:ind w:left="360" w:hanging="173"/>
      </w:pPr>
      <w:r>
        <w:rPr>
          <w:rFonts w:ascii="Tahoma" w:hAnsi="Tahoma" w:eastAsia="Tahoma"/>
          <w:b w:val="0"/>
          <w:sz w:val="20"/>
        </w:rPr>
        <w:t xml:space="preserve">• Staff Code of Conduct</w:t>
      </w:r>
    </w:p>
    <w:p>
      <w:pPr>
        <w:spacing w:before="0" w:after="40" w:line="252" w:lineRule="auto"/>
        <w:ind w:left="360" w:hanging="173"/>
      </w:pPr>
      <w:r>
        <w:rPr>
          <w:rFonts w:ascii="Tahoma" w:hAnsi="Tahoma" w:eastAsia="Tahoma"/>
          <w:b w:val="0"/>
          <w:sz w:val="20"/>
        </w:rPr>
        <w:t xml:space="preserve">• Data Protection Policy</w:t>
      </w:r>
    </w:p>
    <w:p>
      <w:pPr>
        <w:spacing w:before="0" w:after="40" w:line="252" w:lineRule="auto"/>
        <w:ind w:left="360" w:hanging="173"/>
      </w:pPr>
      <w:r>
        <w:rPr>
          <w:rFonts w:ascii="Tahoma" w:hAnsi="Tahoma" w:eastAsia="Tahoma"/>
          <w:b w:val="0"/>
          <w:sz w:val="20"/>
        </w:rPr>
        <w:t xml:space="preserve">• Whistleblowing Policy</w:t>
      </w:r>
    </w:p>
    <w:p>
      <w:pPr>
        <w:spacing w:before="0" w:after="40" w:line="252" w:lineRule="auto"/>
        <w:ind w:left="360" w:hanging="173"/>
      </w:pPr>
      <w:r>
        <w:rPr>
          <w:rFonts w:ascii="Tahoma" w:hAnsi="Tahoma" w:eastAsia="Tahoma"/>
          <w:b w:val="0"/>
          <w:sz w:val="20"/>
        </w:rPr>
        <w:t xml:space="preserve">• Safer Recruitment Policy</w:t>
      </w:r>
    </w:p>
    <w:p>
      <w:pPr>
        <w:spacing w:before="0" w:after="40" w:line="252" w:lineRule="auto"/>
        <w:ind w:left="360" w:hanging="173"/>
      </w:pPr>
      <w:r>
        <w:rPr>
          <w:rFonts w:ascii="Tahoma" w:hAnsi="Tahoma" w:eastAsia="Tahoma"/>
          <w:b w:val="0"/>
          <w:sz w:val="20"/>
        </w:rPr>
        <w:t xml:space="preserve">• Equality Policy and Objectives</w:t>
      </w:r>
    </w:p>
    <w:p>
      <w:pPr>
        <w:spacing w:before="160" w:after="80"/>
      </w:pPr>
      <w:r>
        <w:rPr>
          <w:rFonts w:ascii="Tahoma" w:hAnsi="Tahoma" w:eastAsia="Tahoma"/>
          <w:b/>
          <w:sz w:val="22"/>
        </w:rPr>
        <w:t xml:space="preserve">3. Roles and Responsibilities</w:t>
      </w:r>
    </w:p>
    <w:p>
      <w:pPr>
        <w:spacing w:before="0" w:after="100" w:line="252" w:lineRule="auto"/>
      </w:pPr>
      <w:r>
        <w:rPr>
          <w:b/>
          <w:rFonts w:ascii="Tahoma" w:hAnsi="Tahoma" w:eastAsia="Tahoma"/>
          <w:sz w:val="20"/>
        </w:rPr>
        <w:t xml:space="preserve">3.1 The Governing Body will:</w:t>
      </w:r>
    </w:p>
    <w:p>
      <w:pPr>
        <w:spacing w:before="0" w:after="40" w:line="252" w:lineRule="auto"/>
        <w:ind w:left="360" w:hanging="173"/>
      </w:pPr>
      <w:r>
        <w:rPr>
          <w:rFonts w:ascii="Tahoma" w:hAnsi="Tahoma" w:eastAsia="Tahoma"/>
          <w:b w:val="0"/>
          <w:sz w:val="20"/>
        </w:rPr>
        <w:t xml:space="preserve">• Ensure the effectiveness of this policy by monitoring and reviewing it annually</w:t>
      </w:r>
    </w:p>
    <w:p>
      <w:pPr>
        <w:spacing w:before="0" w:after="40" w:line="252" w:lineRule="auto"/>
        <w:ind w:left="360" w:hanging="173"/>
      </w:pPr>
      <w:r>
        <w:rPr>
          <w:rFonts w:ascii="Tahoma" w:hAnsi="Tahoma" w:eastAsia="Tahoma"/>
          <w:b w:val="0"/>
          <w:sz w:val="20"/>
        </w:rPr>
        <w:t xml:space="preserve">• Ensure this policy and the appraisal process are workload-impact assessed, to minimise the impact on teacher and school leader workload</w:t>
      </w:r>
    </w:p>
    <w:p>
      <w:pPr>
        <w:spacing w:before="0" w:after="40" w:line="252" w:lineRule="auto"/>
        <w:ind w:left="360" w:hanging="173"/>
      </w:pPr>
      <w:r>
        <w:rPr>
          <w:rFonts w:ascii="Tahoma" w:hAnsi="Tahoma" w:eastAsia="Tahoma"/>
          <w:b w:val="0"/>
          <w:sz w:val="20"/>
        </w:rPr>
        <w:t xml:space="preserve">• Ensure that all members of staff have read and understood this policy</w:t>
      </w:r>
    </w:p>
    <w:p>
      <w:pPr>
        <w:spacing w:before="0" w:after="40" w:line="252" w:lineRule="auto"/>
        <w:ind w:left="360" w:hanging="173"/>
      </w:pPr>
      <w:r>
        <w:rPr>
          <w:rFonts w:ascii="Tahoma" w:hAnsi="Tahoma" w:eastAsia="Tahoma"/>
          <w:b w:val="0"/>
          <w:sz w:val="20"/>
        </w:rPr>
        <w:t xml:space="preserve">• Agree the extent to which specific functions relating to the appraisal process are delegated to others</w:t>
      </w:r>
    </w:p>
    <w:p>
      <w:pPr>
        <w:spacing w:before="0" w:after="40" w:line="252" w:lineRule="auto"/>
        <w:ind w:left="360" w:hanging="173"/>
      </w:pPr>
      <w:r>
        <w:rPr>
          <w:rFonts w:ascii="Tahoma" w:hAnsi="Tahoma" w:eastAsia="Tahoma"/>
          <w:b w:val="0"/>
          <w:sz w:val="20"/>
        </w:rPr>
        <w:t xml:space="preserve">• Monitor the outcome of appraisal decisions and check that the process operates fairly</w:t>
      </w:r>
    </w:p>
    <w:p>
      <w:pPr>
        <w:spacing w:before="0" w:after="100" w:line="252" w:lineRule="auto"/>
      </w:pPr>
      <w:r>
        <w:rPr>
          <w:b/>
          <w:rFonts w:ascii="Tahoma" w:hAnsi="Tahoma" w:eastAsia="Tahoma"/>
          <w:sz w:val="20"/>
        </w:rPr>
        <w:t xml:space="preserve">In appraising the Headteacher, the Governing Body will:</w:t>
      </w:r>
    </w:p>
    <w:p>
      <w:pPr>
        <w:spacing w:before="0" w:after="40" w:line="252" w:lineRule="auto"/>
        <w:ind w:left="360" w:hanging="173"/>
      </w:pPr>
      <w:r>
        <w:rPr>
          <w:rFonts w:ascii="Tahoma" w:hAnsi="Tahoma" w:eastAsia="Tahoma"/>
          <w:b w:val="0"/>
          <w:sz w:val="20"/>
        </w:rPr>
        <w:t xml:space="preserve">• Set the Headteacher's objectives, with advice from a suitably skilled and/or experienced external adviser</w:t>
      </w:r>
    </w:p>
    <w:p>
      <w:pPr>
        <w:spacing w:before="0" w:after="40" w:line="252" w:lineRule="auto"/>
        <w:ind w:left="360" w:hanging="173"/>
      </w:pPr>
      <w:r>
        <w:rPr>
          <w:rFonts w:ascii="Tahoma" w:hAnsi="Tahoma" w:eastAsia="Tahoma"/>
          <w:b w:val="0"/>
          <w:sz w:val="20"/>
        </w:rPr>
        <w:t xml:space="preserve">• Ensure all objectives contribute towards the school's improvement priorities and the education of pupils at the school</w:t>
      </w:r>
    </w:p>
    <w:p>
      <w:pPr>
        <w:spacing w:before="0" w:after="40" w:line="252" w:lineRule="auto"/>
        <w:ind w:left="360" w:hanging="173"/>
      </w:pPr>
      <w:r>
        <w:rPr>
          <w:rFonts w:ascii="Tahoma" w:hAnsi="Tahoma" w:eastAsia="Tahoma"/>
          <w:b w:val="0"/>
          <w:sz w:val="20"/>
        </w:rPr>
        <w:t xml:space="preserve">• Take advice from the external adviser on the assessment of the Headteacher's performance</w:t>
      </w:r>
    </w:p>
    <w:p>
      <w:pPr>
        <w:spacing w:before="0" w:after="40" w:line="252" w:lineRule="auto"/>
        <w:ind w:left="360" w:hanging="173"/>
      </w:pPr>
      <w:r>
        <w:rPr>
          <w:rFonts w:ascii="Tahoma" w:hAnsi="Tahoma" w:eastAsia="Tahoma"/>
          <w:b w:val="0"/>
          <w:sz w:val="20"/>
        </w:rPr>
        <w:t xml:space="preserve">• Provide the Headteacher with their agreed appraisal report</w:t>
      </w:r>
    </w:p>
    <w:p>
      <w:pPr>
        <w:spacing w:before="0" w:after="40" w:line="252" w:lineRule="auto"/>
        <w:ind w:left="360" w:hanging="173"/>
      </w:pPr>
      <w:r>
        <w:rPr>
          <w:rFonts w:ascii="Tahoma" w:hAnsi="Tahoma" w:eastAsia="Tahoma"/>
          <w:b w:val="0"/>
          <w:sz w:val="20"/>
        </w:rPr>
        <w:t xml:space="preserve">• Make a recommendation on the Headteacher's pay, where relevant, in line with the Pay Policy</w:t>
      </w:r>
    </w:p>
    <w:p>
      <w:pPr>
        <w:spacing w:before="0" w:after="40" w:line="252" w:lineRule="auto"/>
        <w:ind w:left="360" w:hanging="173"/>
      </w:pPr>
      <w:r>
        <w:rPr>
          <w:rFonts w:ascii="Tahoma" w:hAnsi="Tahoma" w:eastAsia="Tahoma"/>
          <w:b w:val="0"/>
          <w:sz w:val="20"/>
        </w:rPr>
        <w:t xml:space="preserve">• Ensure consistency of treatment and fairness, in line with the Equality Act 2010</w:t>
      </w:r>
    </w:p>
    <w:p>
      <w:pPr>
        <w:spacing w:before="0" w:after="40" w:line="252" w:lineRule="auto"/>
        <w:ind w:left="360" w:hanging="173"/>
      </w:pPr>
      <w:r>
        <w:rPr>
          <w:rFonts w:ascii="Tahoma" w:hAnsi="Tahoma" w:eastAsia="Tahoma"/>
          <w:b w:val="0"/>
          <w:sz w:val="20"/>
        </w:rPr>
        <w:t xml:space="preserve">• Determine the appraisal period that applies to teachers, including the Headteacher</w:t>
      </w:r>
    </w:p>
    <w:p>
      <w:pPr>
        <w:spacing w:before="0" w:after="40" w:line="252" w:lineRule="auto"/>
        <w:ind w:left="360" w:hanging="173"/>
      </w:pPr>
      <w:r>
        <w:rPr>
          <w:rFonts w:ascii="Tahoma" w:hAnsi="Tahoma" w:eastAsia="Tahoma"/>
          <w:b w:val="0"/>
          <w:sz w:val="20"/>
        </w:rPr>
        <w:t xml:space="preserve">• Be responsible for ensuring appeals are managed in line with this policy</w:t>
      </w:r>
    </w:p>
    <w:p>
      <w:pPr>
        <w:spacing w:before="0" w:after="100" w:line="252" w:lineRule="auto"/>
      </w:pPr>
      <w:r>
        <w:rPr>
          <w:b/>
          <w:rFonts w:ascii="Tahoma" w:hAnsi="Tahoma" w:eastAsia="Tahoma"/>
          <w:sz w:val="20"/>
        </w:rPr>
        <w:t xml:space="preserve">3.2 The Headteacher will:</w:t>
      </w:r>
    </w:p>
    <w:p>
      <w:pPr>
        <w:spacing w:before="0" w:after="40" w:line="252" w:lineRule="auto"/>
        <w:ind w:left="360" w:hanging="173"/>
      </w:pPr>
      <w:r>
        <w:rPr>
          <w:rFonts w:ascii="Tahoma" w:hAnsi="Tahoma" w:eastAsia="Tahoma"/>
          <w:b w:val="0"/>
          <w:sz w:val="20"/>
        </w:rPr>
        <w:t xml:space="preserve">• Take day-to-day responsibility for implementing this policy</w:t>
      </w:r>
    </w:p>
    <w:p>
      <w:pPr>
        <w:spacing w:before="0" w:after="40" w:line="252" w:lineRule="auto"/>
        <w:ind w:left="360" w:hanging="173"/>
      </w:pPr>
      <w:r>
        <w:rPr>
          <w:rFonts w:ascii="Tahoma" w:hAnsi="Tahoma" w:eastAsia="Tahoma"/>
          <w:b w:val="0"/>
          <w:sz w:val="20"/>
        </w:rPr>
        <w:t xml:space="preserve">• Review, develop and streamline this policy, consulting staff as appropriate</w:t>
      </w:r>
    </w:p>
    <w:p>
      <w:pPr>
        <w:spacing w:before="0" w:after="40" w:line="252" w:lineRule="auto"/>
        <w:ind w:left="360" w:hanging="173"/>
      </w:pPr>
      <w:r>
        <w:rPr>
          <w:rFonts w:ascii="Tahoma" w:hAnsi="Tahoma" w:eastAsia="Tahoma"/>
          <w:b w:val="0"/>
          <w:sz w:val="20"/>
        </w:rPr>
        <w:t xml:space="preserve">• Submit this policy to the Governing Body for approval</w:t>
      </w:r>
    </w:p>
    <w:p>
      <w:pPr>
        <w:spacing w:before="0" w:after="40" w:line="252" w:lineRule="auto"/>
        <w:ind w:left="360" w:hanging="173"/>
      </w:pPr>
      <w:r>
        <w:rPr>
          <w:rFonts w:ascii="Tahoma" w:hAnsi="Tahoma" w:eastAsia="Tahoma"/>
          <w:b w:val="0"/>
          <w:sz w:val="20"/>
        </w:rPr>
        <w:t xml:space="preserve">• Ensure that all teachers are aware of the policy and have the knowledge and skills to apply it fairly and effectively</w:t>
      </w:r>
    </w:p>
    <w:p>
      <w:pPr>
        <w:spacing w:before="0" w:after="40" w:line="252" w:lineRule="auto"/>
        <w:ind w:left="360" w:hanging="173"/>
      </w:pPr>
      <w:r>
        <w:rPr>
          <w:rFonts w:ascii="Tahoma" w:hAnsi="Tahoma" w:eastAsia="Tahoma"/>
          <w:b w:val="0"/>
          <w:sz w:val="20"/>
        </w:rPr>
        <w:t xml:space="preserve">• Moderate appraisal outcomes</w:t>
      </w:r>
    </w:p>
    <w:p>
      <w:pPr>
        <w:spacing w:before="0" w:after="40" w:line="252" w:lineRule="auto"/>
        <w:ind w:left="360" w:hanging="173"/>
      </w:pPr>
      <w:r>
        <w:rPr>
          <w:rFonts w:ascii="Tahoma" w:hAnsi="Tahoma" w:eastAsia="Tahoma"/>
          <w:b w:val="0"/>
          <w:sz w:val="20"/>
        </w:rPr>
        <w:t xml:space="preserve">• Keep records of decisions and recommendations, to demonstrate that judgements have been made objectively and in line with this policy and equality legislation</w:t>
      </w:r>
    </w:p>
    <w:p>
      <w:pPr>
        <w:spacing w:before="0" w:after="40" w:line="252" w:lineRule="auto"/>
        <w:ind w:left="360" w:hanging="173"/>
      </w:pPr>
      <w:r>
        <w:rPr>
          <w:rFonts w:ascii="Tahoma" w:hAnsi="Tahoma" w:eastAsia="Tahoma"/>
          <w:b w:val="0"/>
          <w:sz w:val="20"/>
        </w:rPr>
        <w:t xml:space="preserve">• Ensure teachers are notified in writing of recommendations made and decisions reached</w:t>
      </w:r>
    </w:p>
    <w:p>
      <w:pPr>
        <w:spacing w:before="0" w:after="40" w:line="252" w:lineRule="auto"/>
        <w:ind w:left="360" w:hanging="173"/>
      </w:pPr>
      <w:r>
        <w:rPr>
          <w:rFonts w:ascii="Tahoma" w:hAnsi="Tahoma" w:eastAsia="Tahoma"/>
          <w:b w:val="0"/>
          <w:sz w:val="20"/>
        </w:rPr>
        <w:t xml:space="preserve">• Ensure the appraisal process is managed in a way that avoids unnecessary workload for all involved</w:t>
      </w:r>
    </w:p>
    <w:p>
      <w:pPr>
        <w:spacing w:before="0" w:after="40" w:line="252" w:lineRule="auto"/>
        <w:ind w:left="360" w:hanging="173"/>
      </w:pPr>
      <w:r>
        <w:rPr>
          <w:rFonts w:ascii="Tahoma" w:hAnsi="Tahoma" w:eastAsia="Tahoma"/>
          <w:b w:val="0"/>
          <w:sz w:val="20"/>
        </w:rPr>
        <w:t xml:space="preserve">• Decide who will appraise teachers, and inform teachers of the standards against which they will be assessed</w:t>
      </w:r>
    </w:p>
    <w:p>
      <w:pPr>
        <w:spacing w:before="0" w:after="40" w:line="252" w:lineRule="auto"/>
        <w:ind w:left="360" w:hanging="173"/>
      </w:pPr>
      <w:r>
        <w:rPr>
          <w:rFonts w:ascii="Tahoma" w:hAnsi="Tahoma" w:eastAsia="Tahoma"/>
          <w:b w:val="0"/>
          <w:sz w:val="20"/>
        </w:rPr>
        <w:t xml:space="preserve">• Conduct drop-in observations, where necessary, to evaluate standards of teaching</w:t>
      </w:r>
    </w:p>
    <w:p>
      <w:pPr>
        <w:spacing w:before="0" w:after="40" w:line="252" w:lineRule="auto"/>
        <w:ind w:left="360" w:hanging="173"/>
      </w:pPr>
      <w:r>
        <w:rPr>
          <w:rFonts w:ascii="Tahoma" w:hAnsi="Tahoma" w:eastAsia="Tahoma"/>
          <w:b w:val="0"/>
          <w:sz w:val="20"/>
        </w:rPr>
        <w:t xml:space="preserve">• Develop clear arrangements for pay progression and advise the Governing Body on pay recommendations, in line with the Pay Policy</w:t>
      </w:r>
    </w:p>
    <w:p>
      <w:pPr>
        <w:spacing w:before="0" w:after="100" w:line="252" w:lineRule="auto"/>
      </w:pPr>
      <w:r>
        <w:rPr>
          <w:b/>
          <w:rFonts w:ascii="Tahoma" w:hAnsi="Tahoma" w:eastAsia="Tahoma"/>
          <w:sz w:val="20"/>
        </w:rPr>
        <w:t xml:space="preserve">3.3 Appraisers will be responsible for:</w:t>
      </w:r>
    </w:p>
    <w:p>
      <w:pPr>
        <w:spacing w:before="0" w:after="40" w:line="252" w:lineRule="auto"/>
        <w:ind w:left="360" w:hanging="173"/>
      </w:pPr>
      <w:r>
        <w:rPr>
          <w:rFonts w:ascii="Tahoma" w:hAnsi="Tahoma" w:eastAsia="Tahoma"/>
          <w:b w:val="0"/>
          <w:sz w:val="20"/>
        </w:rPr>
        <w:t xml:space="preserve">• Reviewing teachers' performance and professional development annually against the Teachers' Standards and this policy</w:t>
      </w:r>
    </w:p>
    <w:p>
      <w:pPr>
        <w:spacing w:before="0" w:after="40" w:line="252" w:lineRule="auto"/>
        <w:ind w:left="360" w:hanging="173"/>
      </w:pPr>
      <w:r>
        <w:rPr>
          <w:rFonts w:ascii="Tahoma" w:hAnsi="Tahoma" w:eastAsia="Tahoma"/>
          <w:b w:val="0"/>
          <w:sz w:val="20"/>
        </w:rPr>
        <w:t xml:space="preserve">• Using their professional judgement to review teachers' performance</w:t>
      </w:r>
    </w:p>
    <w:p>
      <w:pPr>
        <w:spacing w:before="0" w:after="40" w:line="252" w:lineRule="auto"/>
        <w:ind w:left="360" w:hanging="173"/>
      </w:pPr>
      <w:r>
        <w:rPr>
          <w:rFonts w:ascii="Tahoma" w:hAnsi="Tahoma" w:eastAsia="Tahoma"/>
          <w:b w:val="0"/>
          <w:sz w:val="20"/>
        </w:rPr>
        <w:t xml:space="preserve">• Addressing any concerns or difficulties raised by the teacher they are appraising</w:t>
      </w:r>
    </w:p>
    <w:p>
      <w:pPr>
        <w:spacing w:before="0" w:after="40" w:line="252" w:lineRule="auto"/>
        <w:ind w:left="360" w:hanging="173"/>
      </w:pPr>
      <w:r>
        <w:rPr>
          <w:rFonts w:ascii="Tahoma" w:hAnsi="Tahoma" w:eastAsia="Tahoma"/>
          <w:b w:val="0"/>
          <w:sz w:val="20"/>
        </w:rPr>
        <w:t xml:space="preserve">• Taking into account the expectations of the teacher's role and career stage</w:t>
      </w:r>
    </w:p>
    <w:p>
      <w:pPr>
        <w:spacing w:before="0" w:after="40" w:line="252" w:lineRule="auto"/>
        <w:ind w:left="360" w:hanging="173"/>
      </w:pPr>
      <w:r>
        <w:rPr>
          <w:rFonts w:ascii="Tahoma" w:hAnsi="Tahoma" w:eastAsia="Tahoma"/>
          <w:b w:val="0"/>
          <w:sz w:val="20"/>
        </w:rPr>
        <w:t xml:space="preserve">• Helping teachers reflect on their achievements and future development</w:t>
      </w:r>
    </w:p>
    <w:p>
      <w:pPr>
        <w:spacing w:before="0" w:after="40" w:line="252" w:lineRule="auto"/>
        <w:ind w:left="360" w:hanging="173"/>
      </w:pPr>
      <w:r>
        <w:rPr>
          <w:rFonts w:ascii="Tahoma" w:hAnsi="Tahoma" w:eastAsia="Tahoma"/>
          <w:b w:val="0"/>
          <w:sz w:val="20"/>
        </w:rPr>
        <w:t xml:space="preserve">• Writing appraisal reports</w:t>
      </w:r>
    </w:p>
    <w:p>
      <w:pPr>
        <w:spacing w:before="0" w:after="100" w:line="252" w:lineRule="auto"/>
      </w:pPr>
      <w:r>
        <w:rPr>
          <w:b/>
          <w:rFonts w:ascii="Tahoma" w:hAnsi="Tahoma" w:eastAsia="Tahoma"/>
          <w:sz w:val="20"/>
        </w:rPr>
        <w:t xml:space="preserve">3.4 Teaching staff will be responsible for:</w:t>
      </w:r>
    </w:p>
    <w:p>
      <w:pPr>
        <w:spacing w:before="0" w:after="40" w:line="252" w:lineRule="auto"/>
        <w:ind w:left="360" w:hanging="173"/>
      </w:pPr>
      <w:r>
        <w:rPr>
          <w:rFonts w:ascii="Tahoma" w:hAnsi="Tahoma" w:eastAsia="Tahoma"/>
          <w:b w:val="0"/>
          <w:sz w:val="20"/>
        </w:rPr>
        <w:t xml:space="preserve">• Participating in their own appraisal in line with this policy, and understanding their responsibilities within it</w:t>
      </w:r>
    </w:p>
    <w:p>
      <w:pPr>
        <w:spacing w:before="0" w:after="40" w:line="252" w:lineRule="auto"/>
        <w:ind w:left="360" w:hanging="173"/>
      </w:pPr>
      <w:r>
        <w:rPr>
          <w:rFonts w:ascii="Tahoma" w:hAnsi="Tahoma" w:eastAsia="Tahoma"/>
          <w:b w:val="0"/>
          <w:sz w:val="20"/>
        </w:rPr>
        <w:t xml:space="preserve">• Keeping records of their objectives and identifying evidence throughout the appraisal process</w:t>
      </w:r>
    </w:p>
    <w:p>
      <w:pPr>
        <w:spacing w:before="0" w:after="40" w:line="252" w:lineRule="auto"/>
        <w:ind w:left="360" w:hanging="173"/>
      </w:pPr>
      <w:r>
        <w:rPr>
          <w:rFonts w:ascii="Tahoma" w:hAnsi="Tahoma" w:eastAsia="Tahoma"/>
          <w:b w:val="0"/>
          <w:sz w:val="20"/>
        </w:rPr>
        <w:t xml:space="preserve">• Where delegated, appraising the performance of other teachers</w:t>
      </w:r>
    </w:p>
    <w:p>
      <w:pPr>
        <w:spacing w:before="0" w:after="40" w:line="252" w:lineRule="auto"/>
        <w:ind w:left="360" w:hanging="173"/>
      </w:pPr>
      <w:r>
        <w:rPr>
          <w:rFonts w:ascii="Tahoma" w:hAnsi="Tahoma" w:eastAsia="Tahoma"/>
          <w:b w:val="0"/>
          <w:sz w:val="20"/>
        </w:rPr>
        <w:t xml:space="preserve">• Participating fully in training provided to undertake delegated tasks</w:t>
      </w:r>
    </w:p>
    <w:p>
      <w:pPr>
        <w:spacing w:before="0" w:after="40" w:line="252" w:lineRule="auto"/>
        <w:ind w:left="360" w:hanging="173"/>
      </w:pPr>
      <w:r>
        <w:rPr>
          <w:rFonts w:ascii="Tahoma" w:hAnsi="Tahoma" w:eastAsia="Tahoma"/>
          <w:b w:val="0"/>
          <w:sz w:val="20"/>
        </w:rPr>
        <w:t xml:space="preserve">• Improving their teaching through proactive engagement in appropriate CPD, in line with the CPD and Training Policy</w:t>
      </w:r>
    </w:p>
    <w:p>
      <w:pPr>
        <w:spacing w:before="0" w:after="40" w:line="252" w:lineRule="auto"/>
        <w:ind w:left="360" w:hanging="173"/>
      </w:pPr>
      <w:r>
        <w:rPr>
          <w:rFonts w:ascii="Tahoma" w:hAnsi="Tahoma" w:eastAsia="Tahoma"/>
          <w:b w:val="0"/>
          <w:sz w:val="20"/>
        </w:rPr>
        <w:t xml:space="preserve">• Raising concerns where they believe the appraisal process is causing unnecessary difficulty, for example in terms of wellbeing or workload</w:t>
      </w:r>
    </w:p>
    <w:p>
      <w:pPr>
        <w:spacing w:before="0" w:after="40" w:line="252" w:lineRule="auto"/>
        <w:ind w:left="360" w:hanging="173"/>
      </w:pPr>
      <w:r>
        <w:rPr>
          <w:rFonts w:ascii="Tahoma" w:hAnsi="Tahoma" w:eastAsia="Tahoma"/>
          <w:b w:val="0"/>
          <w:sz w:val="20"/>
        </w:rPr>
        <w:t xml:space="preserve">• Reflecting on their own performance and how it could be improved</w:t>
      </w:r>
    </w:p>
    <w:p>
      <w:pPr>
        <w:spacing w:before="160" w:after="80"/>
      </w:pPr>
      <w:r>
        <w:rPr>
          <w:rFonts w:ascii="Tahoma" w:hAnsi="Tahoma" w:eastAsia="Tahoma"/>
          <w:b/>
          <w:sz w:val="22"/>
        </w:rPr>
        <w:t xml:space="preserve">4. General Principles</w:t>
      </w:r>
    </w:p>
    <w:p>
      <w:pPr>
        <w:spacing w:before="0" w:after="100" w:line="252" w:lineRule="auto"/>
      </w:pPr>
      <w:r>
        <w:rPr>
          <w:b/>
          <w:rFonts w:ascii="Tahoma" w:hAnsi="Tahoma" w:eastAsia="Tahoma"/>
          <w:sz w:val="20"/>
        </w:rPr>
        <w:t xml:space="preserve">4.1 Confidentiality</w:t>
      </w:r>
    </w:p>
    <w:p>
      <w:pPr>
        <w:spacing w:before="0" w:after="100" w:line="252" w:lineRule="auto"/>
      </w:pPr>
      <w:r>
        <w:rPr>
          <w:rFonts w:ascii="Tahoma" w:hAnsi="Tahoma" w:eastAsia="Tahoma"/>
          <w:b w:val="0"/>
          <w:sz w:val="20"/>
        </w:rPr>
        <w:t xml:space="preserve">The appraisal process is treated as confidential; however, this does not override the need for the Headteacher and the Governing Body to quality-assure the operation and effectiveness of the appraisal system. This is achieved by the Headteacher and Governing Body personally reviewing a sample of teachers' appraisal records for consistency, and being informed of any pay recommendations made and the rationale behind them.</w:t>
      </w:r>
    </w:p>
    <w:p>
      <w:pPr>
        <w:spacing w:before="0" w:after="100" w:line="252" w:lineRule="auto"/>
      </w:pPr>
      <w:r>
        <w:rPr>
          <w:b/>
          <w:rFonts w:ascii="Tahoma" w:hAnsi="Tahoma" w:eastAsia="Tahoma"/>
          <w:sz w:val="20"/>
        </w:rPr>
        <w:t xml:space="preserve">4.2 Consistency of Treatment and Fairness</w:t>
      </w:r>
    </w:p>
    <w:p>
      <w:pPr>
        <w:spacing w:before="0" w:after="100" w:line="252" w:lineRule="auto"/>
      </w:pPr>
      <w:r>
        <w:rPr>
          <w:rFonts w:ascii="Tahoma" w:hAnsi="Tahoma" w:eastAsia="Tahoma"/>
          <w:b w:val="0"/>
          <w:sz w:val="20"/>
        </w:rPr>
        <w:t xml:space="preserve">The Governing Body is committed to consistency of treatment and fairness throughout the appraisal process. It recognises that identical treatment and evaluation processes may not be fair for all teachers, and that all teachers, regardless of protected characteristics, should be treated fairly; reasonable adjustments will be made to the appraisal process where appropriate, for example for a teacher with a disability.</w:t>
      </w:r>
    </w:p>
    <w:p>
      <w:pPr>
        <w:spacing w:before="0" w:after="100" w:line="252" w:lineRule="auto"/>
      </w:pPr>
      <w:r>
        <w:rPr>
          <w:b/>
          <w:rFonts w:ascii="Tahoma" w:hAnsi="Tahoma" w:eastAsia="Tahoma"/>
          <w:sz w:val="20"/>
        </w:rPr>
        <w:t xml:space="preserve">4.3 Delegation</w:t>
      </w:r>
    </w:p>
    <w:p>
      <w:pPr>
        <w:spacing w:before="0" w:after="100" w:line="252" w:lineRule="auto"/>
      </w:pPr>
      <w:r>
        <w:rPr>
          <w:rFonts w:ascii="Tahoma" w:hAnsi="Tahoma" w:eastAsia="Tahoma"/>
          <w:b w:val="0"/>
          <w:sz w:val="20"/>
        </w:rPr>
        <w:t xml:space="preserve">The Governing Body may delegate specific functions relating to the appraisal process — for example, day-to-day management of teacher appraisal to the Headteacher — and any such delegation will be recorded and communicated to those affected.</w:t>
      </w:r>
    </w:p>
    <w:p>
      <w:pPr>
        <w:spacing w:before="160" w:after="80"/>
      </w:pPr>
      <w:r>
        <w:rPr>
          <w:rFonts w:ascii="Tahoma" w:hAnsi="Tahoma" w:eastAsia="Tahoma"/>
          <w:b/>
          <w:sz w:val="22"/>
        </w:rPr>
        <w:t xml:space="preserve">5. Performance Appraisal</w:t>
      </w:r>
    </w:p>
    <w:p>
      <w:pPr>
        <w:spacing w:before="0" w:after="100" w:line="252" w:lineRule="auto"/>
      </w:pPr>
      <w:r>
        <w:rPr>
          <w:rFonts w:ascii="Tahoma" w:hAnsi="Tahoma" w:eastAsia="Tahoma"/>
          <w:b w:val="0"/>
          <w:sz w:val="20"/>
        </w:rPr>
        <w:t xml:space="preserve">This section applies to the Headteacher and to all teachers employed by the school, except those on contracts of less than one term, those undergoing induction (Early Career Teachers), and those subject to capability procedures. The policy is always applied in a way that is robust while minimising the impact on workload for teachers, line managers, school leaders and the Governing Body.</w:t>
      </w:r>
    </w:p>
    <w:p>
      <w:pPr>
        <w:spacing w:before="0" w:after="100" w:line="252" w:lineRule="auto"/>
      </w:pPr>
      <w:r>
        <w:rPr>
          <w:rFonts w:ascii="Tahoma" w:hAnsi="Tahoma" w:eastAsia="Tahoma"/>
          <w:b w:val="0"/>
          <w:sz w:val="20"/>
        </w:rPr>
        <w:t xml:space="preserve">Appraisal at Al Ameen is supportive and developmental, designed to ensure teachers have, or will develop, the skills and access to support they need to carry out their role effectively, and to help them continue to improve their professional practice. Appraisal outcomes may inform pay progression decisions, in line with the Pay Policy.</w:t>
      </w:r>
    </w:p>
    <w:p>
      <w:pPr>
        <w:spacing w:before="0" w:after="100" w:line="252" w:lineRule="auto"/>
      </w:pPr>
      <w:r>
        <w:rPr>
          <w:b/>
          <w:rFonts w:ascii="Tahoma" w:hAnsi="Tahoma" w:eastAsia="Tahoma"/>
          <w:sz w:val="20"/>
        </w:rPr>
        <w:t xml:space="preserve">5.1 The appraisal period</w:t>
      </w:r>
    </w:p>
    <w:p>
      <w:pPr>
        <w:spacing w:before="0" w:after="100" w:line="252" w:lineRule="auto"/>
      </w:pPr>
      <w:r>
        <w:rPr>
          <w:rFonts w:ascii="Tahoma" w:hAnsi="Tahoma" w:eastAsia="Tahoma"/>
          <w:b w:val="0"/>
          <w:sz w:val="20"/>
        </w:rPr>
        <w:t xml:space="preserve">The appraisal period runs for 12 months, mapped onto the academic year. Teachers employed on a fixed-term contract of less than one year will have their performance managed in line with this policy, with the appraisal period and objectives scaled to the length of their contract. Where a teacher starts employment during the course of an appraisal period, the Headteacher (or the Governing Body, in the case of a new Headteacher) will determine the length of their first appraisal period, with the aim of bringing all teachers onto the same cycle as soon as practicable.</w:t>
      </w:r>
    </w:p>
    <w:p>
      <w:pPr>
        <w:spacing w:before="0" w:after="100" w:line="252" w:lineRule="auto"/>
      </w:pPr>
      <w:r>
        <w:rPr>
          <w:b/>
          <w:rFonts w:ascii="Tahoma" w:hAnsi="Tahoma" w:eastAsia="Tahoma"/>
          <w:sz w:val="20"/>
        </w:rPr>
        <w:t xml:space="preserve">5.2 Appointing appraisers</w:t>
      </w:r>
    </w:p>
    <w:p>
      <w:pPr>
        <w:spacing w:before="0" w:after="100" w:line="252" w:lineRule="auto"/>
      </w:pPr>
      <w:r>
        <w:rPr>
          <w:rFonts w:ascii="Tahoma" w:hAnsi="Tahoma" w:eastAsia="Tahoma"/>
          <w:b w:val="0"/>
          <w:sz w:val="20"/>
        </w:rPr>
        <w:t xml:space="preserve">The Headteacher is appraised by a panel of the Governing Body, ideally an odd number but a minimum of three, supported by a suitably skilled and/or experienced external adviser appointed by the Governing Body for that purpose.</w:t>
      </w:r>
    </w:p>
    <w:p>
      <w:pPr>
        <w:spacing w:before="0" w:after="100" w:line="252" w:lineRule="auto"/>
      </w:pPr>
      <w:r>
        <w:rPr>
          <w:rFonts w:ascii="Tahoma" w:hAnsi="Tahoma" w:eastAsia="Tahoma"/>
          <w:b w:val="0"/>
          <w:sz w:val="20"/>
        </w:rPr>
        <w:t xml:space="preserve">The Headteacher decides who will appraise other teachers on a case-by-case basis, and will ensure that all appraisers of teachers are suitably trained and hold Qualified Teacher Status (QTS).</w:t>
      </w:r>
    </w:p>
    <w:p>
      <w:pPr>
        <w:spacing w:before="0" w:after="100" w:line="252" w:lineRule="auto"/>
      </w:pPr>
      <w:r>
        <w:rPr>
          <w:b/>
          <w:rFonts w:ascii="Tahoma" w:hAnsi="Tahoma" w:eastAsia="Tahoma"/>
          <w:sz w:val="20"/>
        </w:rPr>
        <w:t xml:space="preserve">5.3 Assessment against the Teachers' Standards</w:t>
      </w:r>
    </w:p>
    <w:p>
      <w:pPr>
        <w:spacing w:before="0" w:after="100" w:line="252" w:lineRule="auto"/>
      </w:pPr>
      <w:r>
        <w:rPr>
          <w:rFonts w:ascii="Tahoma" w:hAnsi="Tahoma" w:eastAsia="Tahoma"/>
          <w:b w:val="0"/>
          <w:sz w:val="20"/>
        </w:rPr>
        <w:t xml:space="preserve">Teachers' performance is assessed against the Teachers' Standards, to a level consistent with what should reasonably be expected of a teacher in their role and at their career stage. Appraisers use their professional judgement when appraising performance; the school does not adopt rigid models setting out exactly what the standards mean at each career stage, and teachers are not expected to routinely provide evidence that they meet every standard.</w:t>
      </w:r>
    </w:p>
    <w:p>
      <w:pPr>
        <w:spacing w:before="0" w:after="100" w:line="252" w:lineRule="auto"/>
      </w:pPr>
      <w:r>
        <w:rPr>
          <w:rFonts w:ascii="Tahoma" w:hAnsi="Tahoma" w:eastAsia="Tahoma"/>
          <w:b w:val="0"/>
          <w:sz w:val="20"/>
        </w:rPr>
        <w:t xml:space="preserve">Before, or as soon as practicable after, the start of each appraisal period, teachers are informed by the Headteacher or their line manager of the standards against which their performance will be assessed.</w:t>
      </w:r>
    </w:p>
    <w:p>
      <w:pPr>
        <w:spacing w:before="0" w:after="100" w:line="252" w:lineRule="auto"/>
      </w:pPr>
      <w:r>
        <w:rPr>
          <w:b/>
          <w:rFonts w:ascii="Tahoma" w:hAnsi="Tahoma" w:eastAsia="Tahoma"/>
          <w:sz w:val="20"/>
        </w:rPr>
        <w:t xml:space="preserve">5.4 Setting objectives</w:t>
      </w:r>
    </w:p>
    <w:p>
      <w:pPr>
        <w:spacing w:before="0" w:after="100" w:line="252" w:lineRule="auto"/>
      </w:pPr>
      <w:r>
        <w:rPr>
          <w:rFonts w:ascii="Tahoma" w:hAnsi="Tahoma" w:eastAsia="Tahoma"/>
          <w:b w:val="0"/>
          <w:sz w:val="20"/>
        </w:rPr>
        <w:t xml:space="preserve">The Headteacher's objectives are set by the Governing Body after consultation with the external adviser, taking into account the Headteacher's work-life balance, and are agreed by the Headteacher.</w:t>
      </w:r>
    </w:p>
    <w:p>
      <w:pPr>
        <w:spacing w:before="0" w:after="100" w:line="252" w:lineRule="auto"/>
      </w:pPr>
      <w:r>
        <w:rPr>
          <w:rFonts w:ascii="Tahoma" w:hAnsi="Tahoma" w:eastAsia="Tahoma"/>
          <w:b w:val="0"/>
          <w:sz w:val="20"/>
        </w:rPr>
        <w:t xml:space="preserve">For all teachers, objectives are set before, or as soon as practicable after, the start of each appraisal period, with regard to the teacher's work-life balance. Objectives will be:</w:t>
      </w:r>
    </w:p>
    <w:p>
      <w:pPr>
        <w:spacing w:before="0" w:after="40" w:line="252" w:lineRule="auto"/>
        <w:ind w:left="360" w:hanging="173"/>
      </w:pPr>
      <w:r>
        <w:rPr>
          <w:rFonts w:ascii="Tahoma" w:hAnsi="Tahoma" w:eastAsia="Tahoma"/>
          <w:b w:val="0"/>
          <w:sz w:val="20"/>
        </w:rPr>
        <w:t xml:space="preserve">• Specific, Measurable, Achievable, Realistic and Time-bound (SMART), and appropriate to the teacher's role and experience</w:t>
      </w:r>
    </w:p>
    <w:p>
      <w:pPr>
        <w:spacing w:before="0" w:after="40" w:line="252" w:lineRule="auto"/>
        <w:ind w:left="360" w:hanging="173"/>
      </w:pPr>
      <w:r>
        <w:rPr>
          <w:rFonts w:ascii="Tahoma" w:hAnsi="Tahoma" w:eastAsia="Tahoma"/>
          <w:b w:val="0"/>
          <w:sz w:val="20"/>
        </w:rPr>
        <w:t xml:space="preserve">• Not based on teacher-generated data and predictions, or solely on the assessment data of a single group of pupils</w:t>
      </w:r>
    </w:p>
    <w:p>
      <w:pPr>
        <w:spacing w:before="0" w:after="40" w:line="252" w:lineRule="auto"/>
        <w:ind w:left="360" w:hanging="173"/>
      </w:pPr>
      <w:r>
        <w:rPr>
          <w:rFonts w:ascii="Tahoma" w:hAnsi="Tahoma" w:eastAsia="Tahoma"/>
          <w:b w:val="0"/>
          <w:sz w:val="20"/>
        </w:rPr>
        <w:t xml:space="preserve">• Agreed between the appraiser and teacher wherever possible; if agreement cannot be reached, the appraiser will determine the objectives</w:t>
      </w:r>
    </w:p>
    <w:p>
      <w:pPr>
        <w:spacing w:before="0" w:after="40" w:line="252" w:lineRule="auto"/>
        <w:ind w:left="360" w:hanging="173"/>
      </w:pPr>
      <w:r>
        <w:rPr>
          <w:rFonts w:ascii="Tahoma" w:hAnsi="Tahoma" w:eastAsia="Tahoma"/>
          <w:b w:val="0"/>
          <w:sz w:val="20"/>
        </w:rPr>
        <w:t xml:space="preserve">• Revised if circumstances change significantly, for example a period of maternity leave or long-term medical absence, to allow for reduced and attainable targets</w:t>
      </w:r>
    </w:p>
    <w:p>
      <w:pPr>
        <w:spacing w:before="0" w:after="40" w:line="252" w:lineRule="auto"/>
        <w:ind w:left="360" w:hanging="173"/>
      </w:pPr>
      <w:r>
        <w:rPr>
          <w:rFonts w:ascii="Tahoma" w:hAnsi="Tahoma" w:eastAsia="Tahoma"/>
          <w:b w:val="0"/>
          <w:sz w:val="20"/>
        </w:rPr>
        <w:t xml:space="preserve">• Aspirational yet achievable, based on success criteria within the teacher's control, with a strong focus on effective professional development</w:t>
      </w:r>
    </w:p>
    <w:p>
      <w:pPr>
        <w:spacing w:before="0" w:after="100" w:line="252" w:lineRule="auto"/>
      </w:pPr>
      <w:r>
        <w:rPr>
          <w:rFonts w:ascii="Tahoma" w:hAnsi="Tahoma" w:eastAsia="Tahoma"/>
          <w:b w:val="0"/>
          <w:sz w:val="20"/>
        </w:rPr>
        <w:t xml:space="preserve">The school will generally set no more than three appraisal objectives, and will not set sub-targets except in exceptional circumstances. Numerical targets will not be set where it is beyond the teacher's control to achieve them.</w:t>
      </w:r>
    </w:p>
    <w:p>
      <w:pPr>
        <w:spacing w:before="0" w:after="100" w:line="252" w:lineRule="auto"/>
      </w:pPr>
      <w:r>
        <w:rPr>
          <w:b/>
          <w:rFonts w:ascii="Tahoma" w:hAnsi="Tahoma" w:eastAsia="Tahoma"/>
          <w:sz w:val="20"/>
        </w:rPr>
        <w:t xml:space="preserve">5.5 Observation</w:t>
      </w:r>
    </w:p>
    <w:p>
      <w:pPr>
        <w:spacing w:before="0" w:after="100" w:line="252" w:lineRule="auto"/>
      </w:pPr>
      <w:r>
        <w:rPr>
          <w:rFonts w:ascii="Tahoma" w:hAnsi="Tahoma" w:eastAsia="Tahoma"/>
          <w:b w:val="0"/>
          <w:sz w:val="20"/>
        </w:rPr>
        <w:t xml:space="preserve">Observation of classroom practice and other responsibilities is used both to assess teachers' performance, identifying strengths and areas for development, and to gather information that can inform improvement. All observations are conducted supportively and are not intended to add to teacher workload. The following guidelines apply:</w:t>
      </w:r>
    </w:p>
    <w:p>
      <w:pPr>
        <w:spacing w:before="0" w:after="40" w:line="252" w:lineRule="auto"/>
        <w:ind w:left="360" w:hanging="173"/>
      </w:pPr>
      <w:r>
        <w:rPr>
          <w:rFonts w:ascii="Tahoma" w:hAnsi="Tahoma" w:eastAsia="Tahoma"/>
          <w:b w:val="0"/>
          <w:sz w:val="20"/>
        </w:rPr>
        <w:t xml:space="preserve">• No more than three official observations will take place per year</w:t>
      </w:r>
    </w:p>
    <w:p>
      <w:pPr>
        <w:spacing w:before="0" w:after="40" w:line="252" w:lineRule="auto"/>
        <w:ind w:left="360" w:hanging="173"/>
      </w:pPr>
      <w:r>
        <w:rPr>
          <w:rFonts w:ascii="Tahoma" w:hAnsi="Tahoma" w:eastAsia="Tahoma"/>
          <w:b w:val="0"/>
          <w:sz w:val="20"/>
        </w:rPr>
        <w:t xml:space="preserve">• Observations will not exceed one hour per session</w:t>
      </w:r>
    </w:p>
    <w:p>
      <w:pPr>
        <w:spacing w:before="0" w:after="40" w:line="252" w:lineRule="auto"/>
        <w:ind w:left="360" w:hanging="173"/>
      </w:pPr>
      <w:r>
        <w:rPr>
          <w:rFonts w:ascii="Tahoma" w:hAnsi="Tahoma" w:eastAsia="Tahoma"/>
          <w:b w:val="0"/>
          <w:sz w:val="20"/>
        </w:rPr>
        <w:t xml:space="preserve">• The focus and timing of observations will be agreed in consultation with the teacher</w:t>
      </w:r>
    </w:p>
    <w:p>
      <w:pPr>
        <w:spacing w:before="0" w:after="40" w:line="252" w:lineRule="auto"/>
        <w:ind w:left="360" w:hanging="173"/>
      </w:pPr>
      <w:r>
        <w:rPr>
          <w:rFonts w:ascii="Tahoma" w:hAnsi="Tahoma" w:eastAsia="Tahoma"/>
          <w:b w:val="0"/>
          <w:sz w:val="20"/>
        </w:rPr>
        <w:t xml:space="preserve">• Observations will be conducted with professionalism, integrity, courtesy and objectivity</w:t>
      </w:r>
    </w:p>
    <w:p>
      <w:pPr>
        <w:spacing w:before="0" w:after="40" w:line="252" w:lineRule="auto"/>
        <w:ind w:left="360" w:hanging="173"/>
      </w:pPr>
      <w:r>
        <w:rPr>
          <w:rFonts w:ascii="Tahoma" w:hAnsi="Tahoma" w:eastAsia="Tahoma"/>
          <w:b w:val="0"/>
          <w:sz w:val="20"/>
        </w:rPr>
        <w:t xml:space="preserve">• Observation reports will be accurate and fair, and their confidentiality will be respected</w:t>
      </w:r>
    </w:p>
    <w:p>
      <w:pPr>
        <w:spacing w:before="0" w:after="40" w:line="252" w:lineRule="auto"/>
        <w:ind w:left="360" w:hanging="173"/>
      </w:pPr>
      <w:r>
        <w:rPr>
          <w:rFonts w:ascii="Tahoma" w:hAnsi="Tahoma" w:eastAsia="Tahoma"/>
          <w:b w:val="0"/>
          <w:sz w:val="20"/>
        </w:rPr>
        <w:t xml:space="preserve">• At least five working days' notice will be given of the date and time of an observation</w:t>
      </w:r>
    </w:p>
    <w:p>
      <w:pPr>
        <w:spacing w:before="0" w:after="40" w:line="252" w:lineRule="auto"/>
        <w:ind w:left="360" w:hanging="173"/>
      </w:pPr>
      <w:r>
        <w:rPr>
          <w:rFonts w:ascii="Tahoma" w:hAnsi="Tahoma" w:eastAsia="Tahoma"/>
          <w:b w:val="0"/>
          <w:sz w:val="20"/>
        </w:rPr>
        <w:t xml:space="preserve">• Verbal feedback will be provided by the end of the next school day, and written feedback within five working days</w:t>
      </w:r>
    </w:p>
    <w:p>
      <w:pPr>
        <w:spacing w:before="0" w:after="100" w:line="252" w:lineRule="auto"/>
      </w:pPr>
      <w:r>
        <w:rPr>
          <w:rFonts w:ascii="Tahoma" w:hAnsi="Tahoma" w:eastAsia="Tahoma"/>
          <w:b w:val="0"/>
          <w:sz w:val="20"/>
        </w:rPr>
        <w:t xml:space="preserve">Classroom observation is conducted by staff holding QTS.</w:t>
      </w:r>
    </w:p>
    <w:p>
      <w:pPr>
        <w:spacing w:before="0" w:after="100" w:line="252" w:lineRule="auto"/>
      </w:pPr>
      <w:r>
        <w:rPr>
          <w:b/>
          <w:rFonts w:ascii="Tahoma" w:hAnsi="Tahoma" w:eastAsia="Tahoma"/>
          <w:sz w:val="20"/>
        </w:rPr>
        <w:t xml:space="preserve">5.6 Evidence</w:t>
      </w:r>
    </w:p>
    <w:p>
      <w:pPr>
        <w:spacing w:before="0" w:after="100" w:line="252" w:lineRule="auto"/>
      </w:pPr>
      <w:r>
        <w:rPr>
          <w:rFonts w:ascii="Tahoma" w:hAnsi="Tahoma" w:eastAsia="Tahoma"/>
          <w:b w:val="0"/>
          <w:sz w:val="20"/>
        </w:rPr>
        <w:t xml:space="preserve">The range and level of evidence collected for appraisal, and pay determination where relevant, is always proportionate, with minimal impact on workload. Evidence relates directly to the pre-agreed objectives, and its form is agreed with the teacher in advance; it will be, or contain, material readily available from day-to-day practice.</w:t>
      </w:r>
    </w:p>
    <w:p>
      <w:pPr>
        <w:spacing w:before="0" w:after="100" w:line="252" w:lineRule="auto"/>
      </w:pPr>
      <w:r>
        <w:rPr>
          <w:b/>
          <w:rFonts w:ascii="Tahoma" w:hAnsi="Tahoma" w:eastAsia="Tahoma"/>
          <w:sz w:val="20"/>
        </w:rPr>
        <w:t xml:space="preserve">5.7 Development and support</w:t>
      </w:r>
    </w:p>
    <w:p>
      <w:pPr>
        <w:spacing w:before="0" w:after="100" w:line="252" w:lineRule="auto"/>
      </w:pPr>
      <w:r>
        <w:rPr>
          <w:rFonts w:ascii="Tahoma" w:hAnsi="Tahoma" w:eastAsia="Tahoma"/>
          <w:b w:val="0"/>
          <w:sz w:val="20"/>
        </w:rPr>
        <w:t xml:space="preserve">Appraisal is a supportive process used to inform continuing professional development. The school encourages a culture in which all teachers take responsibility for improving their teaching through appropriate CPD. Professional development is linked to the school's improvement priorities and to the individual teacher's own development needs, in line with the CPD and Training Policy.</w:t>
      </w:r>
    </w:p>
    <w:p>
      <w:pPr>
        <w:spacing w:before="0" w:after="100" w:line="252" w:lineRule="auto"/>
      </w:pPr>
      <w:r>
        <w:rPr>
          <w:b/>
          <w:rFonts w:ascii="Tahoma" w:hAnsi="Tahoma" w:eastAsia="Tahoma"/>
          <w:sz w:val="20"/>
        </w:rPr>
        <w:t xml:space="preserve">5.8 Feedback</w:t>
      </w:r>
    </w:p>
    <w:p>
      <w:pPr>
        <w:spacing w:before="0" w:after="100" w:line="252" w:lineRule="auto"/>
      </w:pPr>
      <w:r>
        <w:rPr>
          <w:rFonts w:ascii="Tahoma" w:hAnsi="Tahoma" w:eastAsia="Tahoma"/>
          <w:b w:val="0"/>
          <w:sz w:val="20"/>
        </w:rPr>
        <w:t xml:space="preserve">Teachers receive constructive, supportive feedback on their performance throughout the year, and as soon as practicable after an observation or when other evidence comes to light. Feedback highlights areas of strength as well as any areas requiring further development.</w:t>
      </w:r>
    </w:p>
    <w:p>
      <w:pPr>
        <w:spacing w:before="0" w:after="100" w:line="252" w:lineRule="auto"/>
      </w:pPr>
      <w:r>
        <w:rPr>
          <w:b/>
          <w:rFonts w:ascii="Tahoma" w:hAnsi="Tahoma" w:eastAsia="Tahoma"/>
          <w:sz w:val="20"/>
        </w:rPr>
        <w:t xml:space="preserve">5.9 Informal support</w:t>
      </w:r>
    </w:p>
    <w:p>
      <w:pPr>
        <w:spacing w:before="0" w:after="100" w:line="252" w:lineRule="auto"/>
      </w:pPr>
      <w:r>
        <w:rPr>
          <w:rFonts w:ascii="Tahoma" w:hAnsi="Tahoma" w:eastAsia="Tahoma"/>
          <w:b w:val="0"/>
          <w:sz w:val="20"/>
        </w:rPr>
        <w:t xml:space="preserve">Except in the most serious cases of persistent failure to meet job expectations and teaching standards, teachers will not ordinarily be placed into capability procedures without first undergoing a period of informal support as part of the appraisal process. Where there are concerns about any aspect of a teacher's performance, the appraiser will meet the teacher to:</w:t>
      </w:r>
    </w:p>
    <w:p>
      <w:pPr>
        <w:spacing w:before="0" w:after="40" w:line="252" w:lineRule="auto"/>
        <w:ind w:left="360" w:hanging="173"/>
      </w:pPr>
      <w:r>
        <w:rPr>
          <w:rFonts w:ascii="Tahoma" w:hAnsi="Tahoma" w:eastAsia="Tahoma"/>
          <w:b w:val="0"/>
          <w:sz w:val="20"/>
        </w:rPr>
        <w:t xml:space="preserve">• Give clear feedback about the nature and seriousness of the concerns</w:t>
      </w:r>
    </w:p>
    <w:p>
      <w:pPr>
        <w:spacing w:before="0" w:after="40" w:line="252" w:lineRule="auto"/>
        <w:ind w:left="360" w:hanging="173"/>
      </w:pPr>
      <w:r>
        <w:rPr>
          <w:rFonts w:ascii="Tahoma" w:hAnsi="Tahoma" w:eastAsia="Tahoma"/>
          <w:b w:val="0"/>
          <w:sz w:val="20"/>
        </w:rPr>
        <w:t xml:space="preserve">• Give the teacher an opportunity to comment and discuss the concerns</w:t>
      </w:r>
    </w:p>
    <w:p>
      <w:pPr>
        <w:spacing w:before="0" w:after="40" w:line="252" w:lineRule="auto"/>
        <w:ind w:left="360" w:hanging="173"/>
      </w:pPr>
      <w:r>
        <w:rPr>
          <w:rFonts w:ascii="Tahoma" w:hAnsi="Tahoma" w:eastAsia="Tahoma"/>
          <w:b w:val="0"/>
          <w:sz w:val="20"/>
        </w:rPr>
        <w:t xml:space="preserve">• Set clear objectives for the required improvement</w:t>
      </w:r>
    </w:p>
    <w:p>
      <w:pPr>
        <w:spacing w:before="0" w:after="40" w:line="252" w:lineRule="auto"/>
        <w:ind w:left="360" w:hanging="173"/>
      </w:pPr>
      <w:r>
        <w:rPr>
          <w:rFonts w:ascii="Tahoma" w:hAnsi="Tahoma" w:eastAsia="Tahoma"/>
          <w:b w:val="0"/>
          <w:sz w:val="20"/>
        </w:rPr>
        <w:t xml:space="preserve">• Agree any support, such as coaching, mentoring or structured observation, to help address the concerns</w:t>
      </w:r>
    </w:p>
    <w:p>
      <w:pPr>
        <w:spacing w:before="0" w:after="40" w:line="252" w:lineRule="auto"/>
        <w:ind w:left="360" w:hanging="173"/>
      </w:pPr>
      <w:r>
        <w:rPr>
          <w:rFonts w:ascii="Tahoma" w:hAnsi="Tahoma" w:eastAsia="Tahoma"/>
          <w:b w:val="0"/>
          <w:sz w:val="20"/>
        </w:rPr>
        <w:t xml:space="preserve">• Make clear how, and by when, progress will be reviewed</w:t>
      </w:r>
    </w:p>
    <w:p>
      <w:pPr>
        <w:spacing w:before="0" w:after="40" w:line="252" w:lineRule="auto"/>
        <w:ind w:left="360" w:hanging="173"/>
      </w:pPr>
      <w:r>
        <w:rPr>
          <w:rFonts w:ascii="Tahoma" w:hAnsi="Tahoma" w:eastAsia="Tahoma"/>
          <w:b w:val="0"/>
          <w:sz w:val="20"/>
        </w:rPr>
        <w:t xml:space="preserve">• Explain the implications if insufficient improvement is made, including the potential for movement into formal capability procedures</w:t>
      </w:r>
    </w:p>
    <w:p>
      <w:pPr>
        <w:spacing w:before="0" w:after="100" w:line="252" w:lineRule="auto"/>
      </w:pPr>
      <w:r>
        <w:rPr>
          <w:rFonts w:ascii="Tahoma" w:hAnsi="Tahoma" w:eastAsia="Tahoma"/>
          <w:b w:val="0"/>
          <w:sz w:val="20"/>
        </w:rPr>
        <w:t xml:space="preserve">Where objectives are revised, sufficient time will be allowed for improvement, reflecting the seriousness of the concerns. When progress is reviewed, if the appraiser is satisfied that sufficient improvement has been made or is being made, the appraisal process continues as normal.</w:t>
      </w:r>
    </w:p>
    <w:p>
      <w:pPr>
        <w:spacing w:before="0" w:after="100" w:line="252" w:lineRule="auto"/>
      </w:pPr>
      <w:r>
        <w:rPr>
          <w:b/>
          <w:rFonts w:ascii="Tahoma" w:hAnsi="Tahoma" w:eastAsia="Tahoma"/>
          <w:sz w:val="20"/>
        </w:rPr>
        <w:t xml:space="preserve">5.10 Transition to capability</w:t>
      </w:r>
    </w:p>
    <w:p>
      <w:pPr>
        <w:spacing w:before="0" w:after="100" w:line="252" w:lineRule="auto"/>
      </w:pPr>
      <w:r>
        <w:rPr>
          <w:rFonts w:ascii="Tahoma" w:hAnsi="Tahoma" w:eastAsia="Tahoma"/>
          <w:b w:val="0"/>
          <w:sz w:val="20"/>
        </w:rPr>
        <w:t xml:space="preserve">If a teacher demonstrates serious underperformance and has not responded to the support provided within the appraisal process, they will be notified in writing that the appraisal system will no longer apply, that their performance will be managed under the school's capability procedure, and that they will be invited to a formal capability meeting.</w:t>
      </w:r>
    </w:p>
    <w:p>
      <w:pPr>
        <w:spacing w:before="0" w:after="100" w:line="252" w:lineRule="auto"/>
      </w:pPr>
      <w:r>
        <w:rPr>
          <w:b/>
          <w:rFonts w:ascii="Tahoma" w:hAnsi="Tahoma" w:eastAsia="Tahoma"/>
          <w:sz w:val="20"/>
        </w:rPr>
        <w:t xml:space="preserve">5.11 Annual assessment</w:t>
      </w:r>
    </w:p>
    <w:p>
      <w:pPr>
        <w:spacing w:before="0" w:after="100" w:line="252" w:lineRule="auto"/>
      </w:pPr>
      <w:r>
        <w:rPr>
          <w:rFonts w:ascii="Tahoma" w:hAnsi="Tahoma" w:eastAsia="Tahoma"/>
          <w:b w:val="0"/>
          <w:sz w:val="20"/>
        </w:rPr>
        <w:t xml:space="preserve">Each teacher's performance is formally assessed in respect of each appraisal period; in assessing the Headteacher's performance, the Governing Body will consult the external adviser. This assessment is the final stage of the annual cycle, but performance and development priorities are reviewed throughout the year, including at a mid-cycle review.</w:t>
      </w:r>
    </w:p>
    <w:p>
      <w:pPr>
        <w:spacing w:before="0" w:after="100" w:line="252" w:lineRule="auto"/>
      </w:pPr>
      <w:r>
        <w:rPr>
          <w:rFonts w:ascii="Tahoma" w:hAnsi="Tahoma" w:eastAsia="Tahoma"/>
          <w:b w:val="0"/>
          <w:sz w:val="20"/>
        </w:rPr>
        <w:t xml:space="preserve">The teacher receives, and has the opportunity to comment on, an appraisal report as soon as practicable, and normally by 31 October (31 December for the Headteacher). The report includes:</w:t>
      </w:r>
    </w:p>
    <w:p>
      <w:pPr>
        <w:spacing w:before="0" w:after="40" w:line="252" w:lineRule="auto"/>
        <w:ind w:left="360" w:hanging="173"/>
      </w:pPr>
      <w:r>
        <w:rPr>
          <w:rFonts w:ascii="Tahoma" w:hAnsi="Tahoma" w:eastAsia="Tahoma"/>
          <w:b w:val="0"/>
          <w:sz w:val="20"/>
        </w:rPr>
        <w:t xml:space="preserve">• Details of the teacher's objectives for the appraisal period</w:t>
      </w:r>
    </w:p>
    <w:p>
      <w:pPr>
        <w:spacing w:before="0" w:after="40" w:line="252" w:lineRule="auto"/>
        <w:ind w:left="360" w:hanging="173"/>
      </w:pPr>
      <w:r>
        <w:rPr>
          <w:rFonts w:ascii="Tahoma" w:hAnsi="Tahoma" w:eastAsia="Tahoma"/>
          <w:b w:val="0"/>
          <w:sz w:val="20"/>
        </w:rPr>
        <w:t xml:space="preserve">• An assessment of the teacher's performance against their objectives and the relevant standards</w:t>
      </w:r>
    </w:p>
    <w:p>
      <w:pPr>
        <w:spacing w:before="0" w:after="40" w:line="252" w:lineRule="auto"/>
        <w:ind w:left="360" w:hanging="173"/>
      </w:pPr>
      <w:r>
        <w:rPr>
          <w:rFonts w:ascii="Tahoma" w:hAnsi="Tahoma" w:eastAsia="Tahoma"/>
          <w:b w:val="0"/>
          <w:sz w:val="20"/>
        </w:rPr>
        <w:t xml:space="preserve">• An assessment of the teacher's professional development needs and any action to address them</w:t>
      </w:r>
    </w:p>
    <w:p>
      <w:pPr>
        <w:spacing w:before="0" w:after="40" w:line="252" w:lineRule="auto"/>
        <w:ind w:left="360" w:hanging="173"/>
      </w:pPr>
      <w:r>
        <w:rPr>
          <w:rFonts w:ascii="Tahoma" w:hAnsi="Tahoma" w:eastAsia="Tahoma"/>
          <w:b w:val="0"/>
          <w:sz w:val="20"/>
        </w:rPr>
        <w:t xml:space="preserve">• Details of a discussion on wellbeing, workload, and career progression or aspirations</w:t>
      </w:r>
    </w:p>
    <w:p>
      <w:pPr>
        <w:spacing w:before="0" w:after="40" w:line="252" w:lineRule="auto"/>
        <w:ind w:left="360" w:hanging="173"/>
      </w:pPr>
      <w:r>
        <w:rPr>
          <w:rFonts w:ascii="Tahoma" w:hAnsi="Tahoma" w:eastAsia="Tahoma"/>
          <w:b w:val="0"/>
          <w:sz w:val="20"/>
        </w:rPr>
        <w:t xml:space="preserve">• A recommendation on pay progression, where relevant, in line with the Pay Policy</w:t>
      </w:r>
    </w:p>
    <w:p>
      <w:pPr>
        <w:spacing w:before="0" w:after="100" w:line="252" w:lineRule="auto"/>
      </w:pPr>
      <w:r>
        <w:rPr>
          <w:rFonts w:ascii="Tahoma" w:hAnsi="Tahoma" w:eastAsia="Tahoma"/>
          <w:b w:val="0"/>
          <w:sz w:val="20"/>
        </w:rPr>
        <w:t xml:space="preserve">A teacher who disagrees with the content of their appraisal report can appeal to the Headteacher; the Headteacher can appeal to the Governing Body. The assessment of performance and development needs informs planning for the following appraisal period.</w:t>
      </w:r>
    </w:p>
    <w:p>
      <w:pPr>
        <w:spacing w:before="0" w:after="100" w:line="252" w:lineRule="auto"/>
      </w:pPr>
      <w:r>
        <w:rPr>
          <w:b/>
          <w:rFonts w:ascii="Tahoma" w:hAnsi="Tahoma" w:eastAsia="Tahoma"/>
          <w:sz w:val="20"/>
        </w:rPr>
        <w:t xml:space="preserve">5.12 Pay progression</w:t>
      </w:r>
    </w:p>
    <w:p>
      <w:pPr>
        <w:spacing w:before="0" w:after="100" w:line="252" w:lineRule="auto"/>
      </w:pPr>
      <w:r>
        <w:rPr>
          <w:rFonts w:ascii="Tahoma" w:hAnsi="Tahoma" w:eastAsia="Tahoma"/>
          <w:b w:val="0"/>
          <w:sz w:val="20"/>
        </w:rPr>
        <w:t xml:space="preserve">The school will ensure that all teachers receive regular, constructive feedback on their performance and development, and are subject to annual appraisal that recognises their strengths, informs plans for future development, and helps enhance their professional practice.</w:t>
      </w:r>
    </w:p>
    <w:p>
      <w:pPr>
        <w:spacing w:before="0" w:after="100" w:line="252" w:lineRule="auto"/>
      </w:pPr>
      <w:r>
        <w:rPr>
          <w:rFonts w:ascii="Tahoma" w:hAnsi="Tahoma" w:eastAsia="Tahoma"/>
          <w:b w:val="0"/>
          <w:sz w:val="20"/>
        </w:rPr>
        <w:t xml:space="preserve">Pay progression is not automatic on completion of appraisal. Any pay recommendation arising from appraisal is considered by the Governing Body, in line with the Pay Policy and the school's financial position. Pay progression will not be withheld for reasons other than performance, except where a teacher is subject to capability procedures.</w:t>
      </w:r>
    </w:p>
    <w:p>
      <w:pPr>
        <w:spacing w:before="160" w:after="80"/>
      </w:pPr>
      <w:r>
        <w:rPr>
          <w:rFonts w:ascii="Tahoma" w:hAnsi="Tahoma" w:eastAsia="Tahoma"/>
          <w:b/>
          <w:sz w:val="22"/>
        </w:rPr>
        <w:t xml:space="preserve">6. Appraisal and Pay Determination Cycle</w:t>
      </w:r>
    </w:p>
    <w:p>
      <w:pPr>
        <w:spacing w:before="0" w:after="100" w:line="252" w:lineRule="auto"/>
      </w:pPr>
      <w:r>
        <w:rPr>
          <w:rFonts w:ascii="Tahoma" w:hAnsi="Tahoma" w:eastAsia="Tahoma"/>
          <w:b w:val="0"/>
          <w:sz w:val="20"/>
        </w:rPr>
        <w:t xml:space="preserve">The school follows this broad appraisal and pay determination cycle:</w:t>
      </w:r>
    </w:p>
    <w:p>
      <w:pPr>
        <w:spacing w:before="0" w:after="40" w:line="252" w:lineRule="auto"/>
        <w:ind w:left="360" w:hanging="173"/>
      </w:pPr>
      <w:r>
        <w:rPr>
          <w:rFonts w:ascii="Tahoma" w:hAnsi="Tahoma" w:eastAsia="Tahoma"/>
          <w:b w:val="0"/>
          <w:sz w:val="20"/>
        </w:rPr>
        <w:t xml:space="preserve">• Performance is continually monitored in line with this policy</w:t>
      </w:r>
    </w:p>
    <w:p>
      <w:pPr>
        <w:spacing w:before="0" w:after="40" w:line="252" w:lineRule="auto"/>
        <w:ind w:left="360" w:hanging="173"/>
      </w:pPr>
      <w:r>
        <w:rPr>
          <w:rFonts w:ascii="Tahoma" w:hAnsi="Tahoma" w:eastAsia="Tahoma"/>
          <w:b w:val="0"/>
          <w:sz w:val="20"/>
        </w:rPr>
        <w:t xml:space="preserve">• In the autumn term, objectives and success criteria are finalised; if agreement cannot be reached, the appraiser sets them</w:t>
      </w:r>
    </w:p>
    <w:p>
      <w:pPr>
        <w:spacing w:before="0" w:after="40" w:line="252" w:lineRule="auto"/>
        <w:ind w:left="360" w:hanging="173"/>
      </w:pPr>
      <w:r>
        <w:rPr>
          <w:rFonts w:ascii="Tahoma" w:hAnsi="Tahoma" w:eastAsia="Tahoma"/>
          <w:b w:val="0"/>
          <w:sz w:val="20"/>
        </w:rPr>
        <w:t xml:space="preserve">• Appraisal cycles are completed before the end of the summer term</w:t>
      </w:r>
    </w:p>
    <w:p>
      <w:pPr>
        <w:spacing w:before="0" w:after="40" w:line="252" w:lineRule="auto"/>
        <w:ind w:left="360" w:hanging="173"/>
      </w:pPr>
      <w:r>
        <w:rPr>
          <w:rFonts w:ascii="Tahoma" w:hAnsi="Tahoma" w:eastAsia="Tahoma"/>
          <w:b w:val="0"/>
          <w:sz w:val="20"/>
        </w:rPr>
        <w:t xml:space="preserve">• At the end of the appraisal year, teachers receive an appraisal report including an assessment against their objectives and standards, and a recommendation on pay progression</w:t>
      </w:r>
    </w:p>
    <w:p>
      <w:pPr>
        <w:spacing w:before="0" w:after="40" w:line="252" w:lineRule="auto"/>
        <w:ind w:left="360" w:hanging="173"/>
      </w:pPr>
      <w:r>
        <w:rPr>
          <w:rFonts w:ascii="Tahoma" w:hAnsi="Tahoma" w:eastAsia="Tahoma"/>
          <w:b w:val="0"/>
          <w:sz w:val="20"/>
        </w:rPr>
        <w:t xml:space="preserve">• Every teacher is provided with an annual pay statement and a copy of the Pay Policy by 31 October each year, reflecting any revisions made during the year</w:t>
      </w:r>
    </w:p>
    <w:p>
      <w:pPr>
        <w:spacing w:before="0" w:after="40" w:line="252" w:lineRule="auto"/>
        <w:ind w:left="360" w:hanging="173"/>
      </w:pPr>
      <w:r>
        <w:rPr>
          <w:rFonts w:ascii="Tahoma" w:hAnsi="Tahoma" w:eastAsia="Tahoma"/>
          <w:b w:val="0"/>
          <w:sz w:val="20"/>
        </w:rPr>
        <w:t xml:space="preserve">• The Headteacher moderates initial recommendations before individual pay progression recommendations go to the Governing Body for agreement</w:t>
      </w:r>
    </w:p>
    <w:p>
      <w:pPr>
        <w:spacing w:before="0" w:after="40" w:line="252" w:lineRule="auto"/>
        <w:ind w:left="360" w:hanging="173"/>
      </w:pPr>
      <w:r>
        <w:rPr>
          <w:rFonts w:ascii="Tahoma" w:hAnsi="Tahoma" w:eastAsia="Tahoma"/>
          <w:b w:val="0"/>
          <w:sz w:val="20"/>
        </w:rPr>
        <w:t xml:space="preserve">• The Pay Policy and this policy are reviewed as necessary in light of experience and any relevant guidance changes</w:t>
      </w:r>
    </w:p>
    <w:p>
      <w:pPr>
        <w:spacing w:before="0" w:after="40" w:line="252" w:lineRule="auto"/>
        <w:ind w:left="360" w:hanging="173"/>
      </w:pPr>
      <w:r>
        <w:rPr>
          <w:rFonts w:ascii="Tahoma" w:hAnsi="Tahoma" w:eastAsia="Tahoma"/>
          <w:b w:val="0"/>
          <w:sz w:val="20"/>
        </w:rPr>
        <w:t xml:space="preserve">• The Governing Body determines what provision should be made in the school's budget for pay awards and progression</w:t>
      </w:r>
    </w:p>
    <w:p>
      <w:pPr>
        <w:spacing w:before="0" w:after="40" w:line="252" w:lineRule="auto"/>
        <w:ind w:left="360" w:hanging="173"/>
      </w:pPr>
      <w:r>
        <w:rPr>
          <w:rFonts w:ascii="Tahoma" w:hAnsi="Tahoma" w:eastAsia="Tahoma"/>
          <w:b w:val="0"/>
          <w:sz w:val="20"/>
        </w:rPr>
        <w:t xml:space="preserve">• Appraisal objectives and success criteria for the next appraisal period are set, linked to pay progression where relevant</w:t>
      </w:r>
    </w:p>
    <w:p>
      <w:pPr>
        <w:spacing w:before="0" w:after="100" w:line="252" w:lineRule="auto"/>
      </w:pPr>
      <w:r>
        <w:rPr>
          <w:rFonts w:ascii="Tahoma" w:hAnsi="Tahoma" w:eastAsia="Tahoma"/>
          <w:b w:val="0"/>
          <w:sz w:val="20"/>
        </w:rPr>
        <w:t xml:space="preserve">The Governing Body and Headteacher will ensure that written appraisal records are retained securely for six years, in line with the school's Data Protection Policy.</w:t>
      </w:r>
    </w:p>
    <w:p>
      <w:pPr>
        <w:spacing w:before="160" w:after="80"/>
      </w:pPr>
      <w:r>
        <w:rPr>
          <w:rFonts w:ascii="Tahoma" w:hAnsi="Tahoma" w:eastAsia="Tahoma"/>
          <w:b/>
          <w:sz w:val="22"/>
        </w:rPr>
        <w:t xml:space="preserve">7. Monitoring and Review</w:t>
      </w:r>
    </w:p>
    <w:p>
      <w:pPr>
        <w:spacing w:before="0" w:after="100" w:line="252" w:lineRule="auto"/>
      </w:pPr>
      <w:r>
        <w:rPr>
          <w:rFonts w:ascii="Tahoma" w:hAnsi="Tahoma" w:eastAsia="Tahoma"/>
          <w:b w:val="0"/>
          <w:sz w:val="20"/>
        </w:rPr>
        <w:t xml:space="preserve">The Governing Body and Headteacher will monitor the operation and effectiveness of the school's appraisal arrangements, including the impact on workload. This policy will be reviewed annually.</w:t>
      </w:r>
    </w:p>
    <w:sectPr w:rsidR="002530EA" w:rsidRPr="00D908E0" w:rsidSect="00842C85">
      <w:footerReference w:type="default" r:id="rId8"/>
      <w:pgSz w:w="11906" w:h="16838"/>
      <w:pgMar w:top="1021" w:right="1077" w:bottom="1021" w:left="1077"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A63DD" w14:textId="77777777" w:rsidR="008F1795" w:rsidRDefault="008F1795" w:rsidP="000B41DB">
      <w:pPr>
        <w:spacing w:after="0" w:line="240" w:lineRule="auto"/>
      </w:pPr>
      <w:r>
        <w:separator/>
      </w:r>
    </w:p>
  </w:endnote>
  <w:endnote w:type="continuationSeparator" w:id="0">
    <w:p w14:paraId="1075C964" w14:textId="77777777" w:rsidR="008F1795" w:rsidRDefault="008F1795" w:rsidP="000B4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Nova">
    <w:charset w:val="00"/>
    <w:family w:val="swiss"/>
    <w:pitch w:val="variable"/>
    <w:sig w:usb0="80000287" w:usb1="00000002" w:usb2="00000000" w:usb3="00000000" w:csb0="0000009F" w:csb1="00000000"/>
  </w:font>
  <w:font w:name="Gill Sans Nova Light">
    <w:charset w:val="00"/>
    <w:family w:val="swiss"/>
    <w:pitch w:val="variable"/>
    <w:sig w:usb0="80000287" w:usb1="00000002" w:usb2="00000000" w:usb3="00000000" w:csb0="0000009F" w:csb1="00000000"/>
  </w:font>
  <w:font w:name="Traditional Arabic">
    <w:panose1 w:val="02020603050405020304"/>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AAC66" w14:textId="382CCFDF" w:rsidR="00DA1197" w:rsidRDefault="00842C85" w:rsidP="00FE3388">
    <w:pPr>
      <w:pStyle w:val="Footer"/>
      <w:jc w:val="right"/>
    </w:pPr>
    <w:r>
      <w:rPr>
        <w:noProof/>
      </w:rPr>
      <mc:AlternateContent>
        <mc:Choice Requires="wps">
          <w:drawing>
            <wp:anchor distT="0" distB="0" distL="114300" distR="114300" simplePos="0" relativeHeight="251660288" behindDoc="0" locked="0" layoutInCell="1" allowOverlap="1" wp14:anchorId="4B618291" wp14:editId="1BC9D842">
              <wp:simplePos x="0" y="0"/>
              <wp:positionH relativeFrom="column">
                <wp:posOffset>11430</wp:posOffset>
              </wp:positionH>
              <wp:positionV relativeFrom="paragraph">
                <wp:posOffset>52705</wp:posOffset>
              </wp:positionV>
              <wp:extent cx="60483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048375" cy="0"/>
                      </a:xfrm>
                      <a:prstGeom prst="line">
                        <a:avLst/>
                      </a:prstGeom>
                    </wps:spPr>
                    <wps:style>
                      <a:lnRef idx="1">
                        <a:schemeClr val="accent5"/>
                      </a:lnRef>
                      <a:fillRef idx="0">
                        <a:schemeClr val="accent5"/>
                      </a:fillRef>
                      <a:effectRef idx="0">
                        <a:schemeClr val="accent5"/>
                      </a:effectRef>
                      <a:fontRef idx="minor">
                        <a:schemeClr val="tx1"/>
                      </a:fontRef>
                    </wps:style>
                    <wps:bodyPr/>
                  </wps:wsp>
                </a:graphicData>
              </a:graphic>
              <wp14:sizeRelH relativeFrom="margin">
                <wp14:pctWidth>0</wp14:pctWidth>
              </wp14:sizeRelH>
            </wp:anchor>
          </w:drawing>
        </mc:Choice>
        <mc:Fallback>
          <w:pict>
            <v:line w14:anchorId="53FA2ACA" id="Straight Connector 7"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9pt,4.15pt" to="477.15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" strokecolor="#5b9bd5 [3208]" strokeweight=".5pt">
              <v:stroke joinstyle="miter"/>
            </v:line>
          </w:pict>
        </mc:Fallback>
      </mc:AlternateContent>
    </w:r>
    <w:r>
      <w:rPr>
        <w:noProof/>
      </w:rPr>
      <mc:AlternateContent>
        <mc:Choice Requires="wps">
          <w:drawing>
            <wp:anchor distT="45720" distB="45720" distL="114300" distR="114300" simplePos="0" relativeHeight="251661312" behindDoc="0" locked="0" layoutInCell="1" allowOverlap="1" wp14:anchorId="2E89F766" wp14:editId="213A8BB1">
              <wp:simplePos x="0" y="0"/>
              <wp:positionH relativeFrom="margin">
                <wp:posOffset>-114935</wp:posOffset>
              </wp:positionH>
              <wp:positionV relativeFrom="paragraph">
                <wp:posOffset>93980</wp:posOffset>
              </wp:positionV>
              <wp:extent cx="3194050" cy="53721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537210"/>
                      </a:xfrm>
                      <a:prstGeom prst="rect">
                        <a:avLst/>
                      </a:prstGeom>
                      <a:noFill/>
                      <a:ln w="9525">
                        <a:noFill/>
                        <a:miter lim="800000"/>
                        <a:headEnd/>
                        <a:tailEnd/>
                      </a:ln>
                    </wps:spPr>
                    <wps:txb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1"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89F766" id="_x0000_t202" coordsize="21600,21600" o:spt="202" path="m,l,21600r21600,l21600,xe">
              <v:stroke joinstyle="miter"/>
              <v:path gradientshapeok="t" o:connecttype="rect"/>
            </v:shapetype>
            <v:shape id="Text Box 2" o:spid="_x0000_s1026" type="#_x0000_t202" style="position:absolute;left:0;text-align:left;margin-left:-9.05pt;margin-top:7.4pt;width:251.5pt;height:42.3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" filled="f" stroked="f">
              <v:textbox>
                <w:txbxContent>
                  <w:p w14:paraId="413AA1E5"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b/>
                        <w:bCs/>
                        <w:color w:val="006699"/>
                        <w:sz w:val="18"/>
                        <w:szCs w:val="18"/>
                      </w:rPr>
                      <w:t>Al Ameen Primary School</w:t>
                    </w:r>
                    <w:r w:rsidRPr="00FE3388">
                      <w:rPr>
                        <w:rFonts w:ascii="Tahoma" w:hAnsi="Tahoma" w:cs="Tahoma"/>
                        <w:color w:val="006699"/>
                        <w:sz w:val="18"/>
                        <w:szCs w:val="18"/>
                      </w:rPr>
                      <w:t xml:space="preserve"> </w:t>
                    </w:r>
                  </w:p>
                  <w:p w14:paraId="0161A111" w14:textId="77777777" w:rsidR="00DA1197" w:rsidRPr="00FE3388" w:rsidRDefault="00DA1197" w:rsidP="00DA1197">
                    <w:pPr>
                      <w:pStyle w:val="Header"/>
                      <w:rPr>
                        <w:rFonts w:ascii="Tahoma" w:hAnsi="Tahoma" w:cs="Tahoma"/>
                        <w:color w:val="006699"/>
                        <w:sz w:val="18"/>
                        <w:szCs w:val="18"/>
                      </w:rPr>
                    </w:pPr>
                    <w:r w:rsidRPr="00FE3388">
                      <w:rPr>
                        <w:rFonts w:ascii="Tahoma" w:hAnsi="Tahoma" w:cs="Tahoma"/>
                        <w:sz w:val="18"/>
                        <w:szCs w:val="18"/>
                      </w:rPr>
                      <w:t>447 Warwick Road, Tyseley, Birmingham, B11 2JR</w:t>
                    </w:r>
                  </w:p>
                  <w:p w14:paraId="196CB89C" w14:textId="77777777" w:rsidR="00DA1197" w:rsidRPr="00FE3388" w:rsidRDefault="00DA1197" w:rsidP="00DA1197">
                    <w:pPr>
                      <w:pStyle w:val="Header"/>
                      <w:rPr>
                        <w:rFonts w:ascii="Tahoma" w:hAnsi="Tahoma" w:cs="Tahoma"/>
                        <w:sz w:val="18"/>
                        <w:szCs w:val="18"/>
                        <w:lang w:val="de-DE"/>
                      </w:rPr>
                    </w:pPr>
                    <w:r w:rsidRPr="00FE3388">
                      <w:rPr>
                        <w:rFonts w:ascii="Tahoma" w:hAnsi="Tahoma" w:cs="Tahoma"/>
                        <w:b/>
                        <w:bCs/>
                        <w:color w:val="006699"/>
                        <w:sz w:val="18"/>
                        <w:szCs w:val="18"/>
                        <w:lang w:val="de-DE"/>
                      </w:rPr>
                      <w:t>T:</w:t>
                    </w:r>
                    <w:r w:rsidRPr="00FE3388">
                      <w:rPr>
                        <w:rFonts w:ascii="Tahoma" w:hAnsi="Tahoma" w:cs="Tahoma"/>
                        <w:color w:val="006699"/>
                        <w:sz w:val="18"/>
                        <w:szCs w:val="18"/>
                        <w:lang w:val="de-DE"/>
                      </w:rPr>
                      <w:t xml:space="preserve"> </w:t>
                    </w:r>
                    <w:r w:rsidRPr="00FE3388">
                      <w:rPr>
                        <w:rFonts w:ascii="Tahoma" w:hAnsi="Tahoma" w:cs="Tahoma"/>
                        <w:sz w:val="18"/>
                        <w:szCs w:val="18"/>
                        <w:lang w:val="de-DE"/>
                      </w:rPr>
                      <w:t xml:space="preserve">0121 706 3322 </w:t>
                    </w:r>
                    <w:r w:rsidRPr="00FE3388">
                      <w:rPr>
                        <w:rFonts w:ascii="Tahoma" w:hAnsi="Tahoma" w:cs="Tahoma"/>
                        <w:color w:val="006699"/>
                        <w:sz w:val="18"/>
                        <w:szCs w:val="18"/>
                        <w:lang w:val="de-DE"/>
                      </w:rPr>
                      <w:t xml:space="preserve">| </w:t>
                    </w:r>
                    <w:r w:rsidRPr="00FE3388">
                      <w:rPr>
                        <w:rFonts w:ascii="Tahoma" w:hAnsi="Tahoma" w:cs="Tahoma"/>
                        <w:b/>
                        <w:bCs/>
                        <w:color w:val="006699"/>
                        <w:sz w:val="18"/>
                        <w:szCs w:val="18"/>
                        <w:lang w:val="de-DE"/>
                      </w:rPr>
                      <w:t>E:</w:t>
                    </w:r>
                    <w:r w:rsidRPr="00FE3388">
                      <w:rPr>
                        <w:rFonts w:ascii="Tahoma" w:hAnsi="Tahoma" w:cs="Tahoma"/>
                        <w:color w:val="006699"/>
                        <w:sz w:val="18"/>
                        <w:szCs w:val="18"/>
                        <w:lang w:val="de-DE"/>
                      </w:rPr>
                      <w:t xml:space="preserve"> </w:t>
                    </w:r>
                    <w:hyperlink r:id="rId2" w:history="1">
                      <w:r w:rsidRPr="00FE3388">
                        <w:rPr>
                          <w:rStyle w:val="Hyperlink"/>
                          <w:rFonts w:ascii="Tahoma" w:hAnsi="Tahoma" w:cs="Tahoma"/>
                          <w:sz w:val="18"/>
                          <w:szCs w:val="18"/>
                          <w:lang w:val="de-DE"/>
                        </w:rPr>
                        <w:t>contact@alameen.bham.sch.uk</w:t>
                      </w:r>
                    </w:hyperlink>
                    <w:r w:rsidRPr="00FE3388">
                      <w:rPr>
                        <w:rStyle w:val="Hyperlink"/>
                        <w:rFonts w:ascii="Tahoma" w:hAnsi="Tahoma" w:cs="Tahoma"/>
                        <w:sz w:val="18"/>
                        <w:szCs w:val="18"/>
                        <w:lang w:val="de-DE"/>
                      </w:rPr>
                      <w:t xml:space="preserve"> </w:t>
                    </w:r>
                  </w:p>
                </w:txbxContent>
              </v:textbox>
              <w10:wrap anchorx="margin"/>
            </v:shape>
          </w:pict>
        </mc:Fallback>
      </mc:AlternateContent>
    </w:r>
    <w:r>
      <w:rPr>
        <w:noProof/>
      </w:rPr>
      <w:drawing>
        <wp:anchor distT="0" distB="0" distL="114300" distR="114300" simplePos="0" relativeHeight="251659264" behindDoc="0" locked="0" layoutInCell="1" allowOverlap="1" wp14:anchorId="7C2CD89F" wp14:editId="1757E00A">
          <wp:simplePos x="0" y="0"/>
          <wp:positionH relativeFrom="margin">
            <wp:posOffset>2886710</wp:posOffset>
          </wp:positionH>
          <wp:positionV relativeFrom="paragraph">
            <wp:posOffset>149225</wp:posOffset>
          </wp:positionV>
          <wp:extent cx="1024890" cy="320040"/>
          <wp:effectExtent l="0" t="0" r="3810" b="3810"/>
          <wp:wrapNone/>
          <wp:docPr id="3" name="Picture 3" descr="AMS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MS U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4890" cy="3200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0" locked="0" layoutInCell="1" allowOverlap="1" wp14:anchorId="69F4B42C" wp14:editId="28F8BFA2">
          <wp:simplePos x="0" y="0"/>
          <wp:positionH relativeFrom="margin">
            <wp:posOffset>4081145</wp:posOffset>
          </wp:positionH>
          <wp:positionV relativeFrom="paragraph">
            <wp:posOffset>130175</wp:posOffset>
          </wp:positionV>
          <wp:extent cx="1273175" cy="445770"/>
          <wp:effectExtent l="0" t="0" r="317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273175" cy="445770"/>
                  </a:xfrm>
                  <a:prstGeom prst="rect">
                    <a:avLst/>
                  </a:prstGeom>
                  <a:noFill/>
                  <a:ln>
                    <a:noFill/>
                  </a:ln>
                </pic:spPr>
              </pic:pic>
            </a:graphicData>
          </a:graphic>
          <wp14:sizeRelH relativeFrom="page">
            <wp14:pctWidth>0</wp14:pctWidth>
          </wp14:sizeRelH>
          <wp14:sizeRelV relativeFrom="page">
            <wp14:pctHeight>0</wp14:pctHeight>
          </wp14:sizeRelV>
        </wp:anchor>
      </w:drawing>
    </w:r>
    <w:r w:rsidR="00FE3388">
      <w:fldChar w:fldCharType="begin"/>
    </w:r>
    <w:r w:rsidR="00FE3388">
      <w:instrText xml:space="preserve"> PAGE   \* MERGEFORMAT </w:instrText>
    </w:r>
    <w:r w:rsidR="00FE3388">
      <w:fldChar w:fldCharType="separate"/>
    </w:r>
    <w:r w:rsidR="00FE3388">
      <w:rPr>
        <w:noProof/>
      </w:rPr>
      <w:t>1</w:t>
    </w:r>
    <w:r w:rsidR="00FE3388">
      <w:rPr>
        <w:noProof/>
      </w:rPr>
      <w:fldChar w:fldCharType="end"/>
    </w:r>
  </w:p>
  <w:p w14:paraId="25FF073E" w14:textId="77777777" w:rsidR="000B41DB" w:rsidRPr="00DA1197" w:rsidRDefault="000B41DB" w:rsidP="00DA11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489AA" w14:textId="77777777" w:rsidR="008F1795" w:rsidRDefault="008F1795" w:rsidP="000B41DB">
      <w:pPr>
        <w:spacing w:after="0" w:line="240" w:lineRule="auto"/>
      </w:pPr>
      <w:r>
        <w:separator/>
      </w:r>
    </w:p>
  </w:footnote>
  <w:footnote w:type="continuationSeparator" w:id="0">
    <w:p w14:paraId="005133E5" w14:textId="77777777" w:rsidR="008F1795" w:rsidRDefault="008F1795" w:rsidP="000B41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B52CB"/>
    <w:multiLevelType w:val="hybridMultilevel"/>
    <w:tmpl w:val="E05E090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321054"/>
    <w:multiLevelType w:val="multilevel"/>
    <w:tmpl w:val="93C08FF8"/>
    <w:lvl w:ilvl="0">
      <w:start w:val="1"/>
      <w:numFmt w:val="bullet"/>
      <w:pStyle w:val="bulleting"/>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481B7A"/>
    <w:multiLevelType w:val="hybridMultilevel"/>
    <w:tmpl w:val="9410B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26616D"/>
    <w:multiLevelType w:val="multilevel"/>
    <w:tmpl w:val="AF8AC78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107C76"/>
    <w:multiLevelType w:val="multilevel"/>
    <w:tmpl w:val="FB08F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F93EFD"/>
    <w:multiLevelType w:val="multilevel"/>
    <w:tmpl w:val="6EF6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83320BB"/>
    <w:multiLevelType w:val="multilevel"/>
    <w:tmpl w:val="CC28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35536"/>
    <w:multiLevelType w:val="multilevel"/>
    <w:tmpl w:val="7A26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802D1E"/>
    <w:multiLevelType w:val="multilevel"/>
    <w:tmpl w:val="1A62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DDE324F"/>
    <w:multiLevelType w:val="hybridMultilevel"/>
    <w:tmpl w:val="77C2D526"/>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284095F"/>
    <w:multiLevelType w:val="hybridMultilevel"/>
    <w:tmpl w:val="7BE2EFA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AE095C"/>
    <w:multiLevelType w:val="hybridMultilevel"/>
    <w:tmpl w:val="8F423FB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7DB71662"/>
    <w:multiLevelType w:val="hybridMultilevel"/>
    <w:tmpl w:val="E8AE04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D16CBB"/>
    <w:multiLevelType w:val="multilevel"/>
    <w:tmpl w:val="2022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4892006">
    <w:abstractNumId w:val="0"/>
  </w:num>
  <w:num w:numId="2" w16cid:durableId="327171035">
    <w:abstractNumId w:val="10"/>
  </w:num>
  <w:num w:numId="3" w16cid:durableId="1519541540">
    <w:abstractNumId w:val="11"/>
  </w:num>
  <w:num w:numId="4" w16cid:durableId="1231116031">
    <w:abstractNumId w:val="9"/>
  </w:num>
  <w:num w:numId="5" w16cid:durableId="433793863">
    <w:abstractNumId w:val="12"/>
  </w:num>
  <w:num w:numId="6" w16cid:durableId="1030716128">
    <w:abstractNumId w:val="2"/>
  </w:num>
  <w:num w:numId="7" w16cid:durableId="733352331">
    <w:abstractNumId w:val="3"/>
  </w:num>
  <w:num w:numId="8" w16cid:durableId="205417138">
    <w:abstractNumId w:val="6"/>
  </w:num>
  <w:num w:numId="9" w16cid:durableId="745803995">
    <w:abstractNumId w:val="7"/>
  </w:num>
  <w:num w:numId="10" w16cid:durableId="1344472197">
    <w:abstractNumId w:val="5"/>
  </w:num>
  <w:num w:numId="11" w16cid:durableId="431124518">
    <w:abstractNumId w:val="4"/>
  </w:num>
  <w:num w:numId="12" w16cid:durableId="833835847">
    <w:abstractNumId w:val="13"/>
  </w:num>
  <w:num w:numId="13" w16cid:durableId="351496248">
    <w:abstractNumId w:val="8"/>
  </w:num>
  <w:num w:numId="14" w16cid:durableId="13553005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8E0"/>
    <w:rsid w:val="0001256D"/>
    <w:rsid w:val="00061407"/>
    <w:rsid w:val="000617EA"/>
    <w:rsid w:val="000B41DB"/>
    <w:rsid w:val="000B7BAD"/>
    <w:rsid w:val="00113524"/>
    <w:rsid w:val="00117C09"/>
    <w:rsid w:val="00125846"/>
    <w:rsid w:val="001B5AAC"/>
    <w:rsid w:val="001C55B4"/>
    <w:rsid w:val="001E4D94"/>
    <w:rsid w:val="002530EA"/>
    <w:rsid w:val="002B5BEE"/>
    <w:rsid w:val="00390B31"/>
    <w:rsid w:val="003A61EA"/>
    <w:rsid w:val="0047788A"/>
    <w:rsid w:val="004D6474"/>
    <w:rsid w:val="0051644C"/>
    <w:rsid w:val="005F22DD"/>
    <w:rsid w:val="006514F3"/>
    <w:rsid w:val="00766F8A"/>
    <w:rsid w:val="007873D1"/>
    <w:rsid w:val="00821593"/>
    <w:rsid w:val="00842C85"/>
    <w:rsid w:val="0085694E"/>
    <w:rsid w:val="00881F21"/>
    <w:rsid w:val="008D5B6D"/>
    <w:rsid w:val="008F1795"/>
    <w:rsid w:val="009235AA"/>
    <w:rsid w:val="00941664"/>
    <w:rsid w:val="009E56E1"/>
    <w:rsid w:val="00A26F20"/>
    <w:rsid w:val="00A654C7"/>
    <w:rsid w:val="00A85FE2"/>
    <w:rsid w:val="00A86BE7"/>
    <w:rsid w:val="00AD14EA"/>
    <w:rsid w:val="00AE57B5"/>
    <w:rsid w:val="00B807C0"/>
    <w:rsid w:val="00BA45F8"/>
    <w:rsid w:val="00BD3C79"/>
    <w:rsid w:val="00C33BF8"/>
    <w:rsid w:val="00C86915"/>
    <w:rsid w:val="00CE2887"/>
    <w:rsid w:val="00D25742"/>
    <w:rsid w:val="00D908E0"/>
    <w:rsid w:val="00DA1197"/>
    <w:rsid w:val="00DE4C5D"/>
    <w:rsid w:val="00E0348C"/>
    <w:rsid w:val="00E156D6"/>
    <w:rsid w:val="00E34803"/>
    <w:rsid w:val="00E43EFB"/>
    <w:rsid w:val="00EA01C4"/>
    <w:rsid w:val="00F022CF"/>
    <w:rsid w:val="00F77D41"/>
    <w:rsid w:val="00FE338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DFF5D3"/>
  <w15:chartTrackingRefBased/>
  <w15:docId w15:val="{6C404E78-1EDC-40CE-8F9B-3382EAB6C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D908E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D908E0"/>
    <w:rPr>
      <w:rFonts w:eastAsiaTheme="minorEastAsia"/>
      <w:lang w:val="en-US"/>
    </w:rPr>
  </w:style>
  <w:style w:type="paragraph" w:styleId="ListParagraph">
    <w:name w:val="List Paragraph"/>
    <w:basedOn w:val="Normal"/>
    <w:uiPriority w:val="34"/>
    <w:qFormat/>
    <w:rsid w:val="00A26F20"/>
    <w:pPr>
      <w:widowControl w:val="0"/>
      <w:spacing w:after="200" w:line="276" w:lineRule="auto"/>
      <w:ind w:left="720"/>
      <w:contextualSpacing/>
    </w:pPr>
    <w:rPr>
      <w:lang w:val="en-US"/>
    </w:rPr>
  </w:style>
  <w:style w:type="paragraph" w:styleId="Header">
    <w:name w:val="header"/>
    <w:basedOn w:val="Normal"/>
    <w:link w:val="HeaderChar"/>
    <w:uiPriority w:val="99"/>
    <w:unhideWhenUsed/>
    <w:rsid w:val="00A26F20"/>
    <w:pPr>
      <w:widowControl w:val="0"/>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A26F20"/>
    <w:rPr>
      <w:lang w:val="en-US"/>
    </w:rPr>
  </w:style>
  <w:style w:type="character" w:styleId="CommentReference">
    <w:name w:val="annotation reference"/>
    <w:basedOn w:val="DefaultParagraphFont"/>
    <w:semiHidden/>
    <w:rsid w:val="00A26F20"/>
    <w:rPr>
      <w:sz w:val="16"/>
      <w:szCs w:val="16"/>
    </w:rPr>
  </w:style>
  <w:style w:type="paragraph" w:styleId="NormalWeb">
    <w:name w:val="Normal (Web)"/>
    <w:basedOn w:val="Normal"/>
    <w:uiPriority w:val="99"/>
    <w:unhideWhenUsed/>
    <w:rsid w:val="00A26F2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Title">
    <w:name w:val="Title"/>
    <w:basedOn w:val="Normal"/>
    <w:link w:val="TitleChar"/>
    <w:qFormat/>
    <w:rsid w:val="009E56E1"/>
    <w:pPr>
      <w:spacing w:after="0" w:line="240" w:lineRule="auto"/>
      <w:jc w:val="center"/>
    </w:pPr>
    <w:rPr>
      <w:rFonts w:ascii="Times New Roman" w:eastAsia="Times New Roman" w:hAnsi="Times New Roman" w:cs="Times New Roman"/>
      <w:b/>
      <w:bCs/>
      <w:sz w:val="40"/>
      <w:szCs w:val="24"/>
      <w:u w:val="single"/>
    </w:rPr>
  </w:style>
  <w:style w:type="character" w:customStyle="1" w:styleId="TitleChar">
    <w:name w:val="Title Char"/>
    <w:basedOn w:val="DefaultParagraphFont"/>
    <w:link w:val="Title"/>
    <w:rsid w:val="009E56E1"/>
    <w:rPr>
      <w:rFonts w:ascii="Times New Roman" w:eastAsia="Times New Roman" w:hAnsi="Times New Roman" w:cs="Times New Roman"/>
      <w:b/>
      <w:bCs/>
      <w:sz w:val="40"/>
      <w:szCs w:val="24"/>
      <w:u w:val="single"/>
    </w:rPr>
  </w:style>
  <w:style w:type="character" w:styleId="Hyperlink">
    <w:name w:val="Hyperlink"/>
    <w:rsid w:val="009E56E1"/>
    <w:rPr>
      <w:color w:val="0000FF"/>
      <w:u w:val="single"/>
    </w:rPr>
  </w:style>
  <w:style w:type="paragraph" w:customStyle="1" w:styleId="Default">
    <w:name w:val="Default"/>
    <w:rsid w:val="009E56E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Footer">
    <w:name w:val="footer"/>
    <w:basedOn w:val="Normal"/>
    <w:link w:val="FooterChar"/>
    <w:uiPriority w:val="99"/>
    <w:unhideWhenUsed/>
    <w:rsid w:val="000B41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B41DB"/>
  </w:style>
  <w:style w:type="table" w:styleId="TableGrid">
    <w:name w:val="Table Grid"/>
    <w:basedOn w:val="TableNormal"/>
    <w:uiPriority w:val="39"/>
    <w:rsid w:val="00842C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g">
    <w:name w:val="bulleting"/>
    <w:basedOn w:val="Normal"/>
    <w:link w:val="bulletingChar"/>
    <w:qFormat/>
    <w:rsid w:val="00842C85"/>
    <w:pPr>
      <w:numPr>
        <w:numId w:val="14"/>
      </w:numPr>
      <w:tabs>
        <w:tab w:val="clear" w:pos="720"/>
        <w:tab w:val="num" w:pos="447"/>
      </w:tabs>
      <w:spacing w:after="0" w:line="240" w:lineRule="auto"/>
      <w:ind w:left="447" w:hanging="283"/>
    </w:pPr>
    <w:rPr>
      <w:rFonts w:ascii="Tahoma" w:hAnsi="Tahoma" w:cs="Tahoma"/>
      <w:sz w:val="20"/>
      <w:szCs w:val="20"/>
    </w:rPr>
  </w:style>
  <w:style w:type="character" w:customStyle="1" w:styleId="bulletingChar">
    <w:name w:val="bulleting Char"/>
    <w:basedOn w:val="DefaultParagraphFont"/>
    <w:link w:val="bulleting"/>
    <w:rsid w:val="00842C85"/>
    <w:rPr>
      <w:rFonts w:ascii="Tahoma" w:hAnsi="Tahoma" w:cs="Tahoma"/>
      <w:sz w:val="20"/>
      <w:szCs w:val="20"/>
    </w:rPr>
  </w:style>
  <w:style w:type="paragraph" w:customStyle="1" w:styleId="bullettts2">
    <w:name w:val="bullettts 2"/>
    <w:basedOn w:val="bulleting"/>
    <w:link w:val="bullettts2Char"/>
    <w:qFormat/>
    <w:rsid w:val="00842C85"/>
    <w:pPr>
      <w:tabs>
        <w:tab w:val="clear" w:pos="447"/>
        <w:tab w:val="num" w:pos="312"/>
      </w:tabs>
      <w:ind w:left="312" w:hanging="284"/>
    </w:pPr>
  </w:style>
  <w:style w:type="character" w:customStyle="1" w:styleId="bullettts2Char">
    <w:name w:val="bullettts 2 Char"/>
    <w:basedOn w:val="bulletingChar"/>
    <w:link w:val="bullettts2"/>
    <w:rsid w:val="00842C85"/>
    <w:rPr>
      <w:rFonts w:ascii="Tahoma" w:hAnsi="Tahoma" w:cs="Tahom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mailto:contact@alameen.bham.sch.uk" TargetMode="External"/><Relationship Id="rId1" Type="http://schemas.openxmlformats.org/officeDocument/2006/relationships/hyperlink" Target="mailto:contact@alameen.bham.sch.uk" TargetMode="External"/><Relationship Id="rId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5</Pages>
  <Words>1269</Words>
  <Characters>8137</Characters>
  <Application>Microsoft Office Word</Application>
  <DocSecurity>0</DocSecurity>
  <Lines>282</Lines>
  <Paragraphs>127</Paragraphs>
  <ScaleCrop>false</ScaleCrop>
  <Company/>
  <LinksUpToDate>false</LinksUpToDate>
  <CharactersWithSpaces>9346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Rahman</dc:creator>
  <cp:keywords/>
  <dc:description/>
  <cp:lastModifiedBy>Mohammed M</cp:lastModifiedBy>
  <cp:revision>4</cp:revision>
  <dcterms:created xsi:type="dcterms:W3CDTF">2025-12-11T13:29:00Z</dcterms:created>
  <dcterms:modified xsi:type="dcterms:W3CDTF">2025-12-11T13:36:00Z</dcterms:modified>
</cp:coreProperties>
</file>